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27" w:rsidRPr="00506827" w:rsidRDefault="00506827" w:rsidP="0050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06827" w:rsidRPr="00506827" w:rsidRDefault="00506827" w:rsidP="0050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РАЙОН</w:t>
      </w:r>
    </w:p>
    <w:p w:rsidR="00506827" w:rsidRPr="00506827" w:rsidRDefault="00506827" w:rsidP="0050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АФАНАСЬЕВСКОГО СЕЛЬСКОГО ПОСЕЛЕНИЯ</w:t>
      </w:r>
    </w:p>
    <w:p w:rsidR="00506827" w:rsidRPr="00506827" w:rsidRDefault="00506827" w:rsidP="0050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827" w:rsidRPr="00506827" w:rsidRDefault="00506827" w:rsidP="0050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07.06.2021 г.                                                                 № 6-РД</w:t>
      </w: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506827" w:rsidRPr="00506827" w:rsidRDefault="00506827" w:rsidP="0050682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изменений в местные </w:t>
      </w:r>
    </w:p>
    <w:p w:rsidR="00506827" w:rsidRPr="00506827" w:rsidRDefault="00506827" w:rsidP="005068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нормативы </w:t>
      </w:r>
      <w:proofErr w:type="gramStart"/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градостроительного</w:t>
      </w:r>
      <w:proofErr w:type="gramEnd"/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06827" w:rsidRPr="00506827" w:rsidRDefault="00506827" w:rsidP="005068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проектирования  Афанасьевского  муниципального </w:t>
      </w:r>
    </w:p>
    <w:p w:rsidR="00506827" w:rsidRPr="00506827" w:rsidRDefault="00506827" w:rsidP="005068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Тулунского района Иркутской области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29.4. Градостроительного кодекса Российской Федерации, </w:t>
      </w:r>
      <w:r w:rsidRPr="005068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Порядком подготовки и утверждения местных нормативов градостроительного проектирования Афанасьевского сельского поселения Тулунского района Иркутской области, внесения в них изменений, утвержденным  постановлением администрации Афанасьевского сельского поселения от 12.12.2016 Г.  № 23-РД, </w:t>
      </w: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Афанасьевского муниципального образования, Дума Афанасьевского сельского поселения </w:t>
      </w:r>
    </w:p>
    <w:p w:rsidR="00506827" w:rsidRPr="00506827" w:rsidRDefault="00506827" w:rsidP="005068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r w:rsidRPr="00506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</w:p>
    <w:p w:rsidR="00506827" w:rsidRPr="00506827" w:rsidRDefault="00506827" w:rsidP="00506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827" w:rsidRPr="00506827" w:rsidRDefault="00506827" w:rsidP="00506827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местные нормативы градостроительного проектирования Афанасьевского муниципального образования Тулунского района Иркутской области, утвержденные решением Думы Афанасьевского сельского поселения от 12.12.2016 № 4-РД».</w:t>
      </w:r>
    </w:p>
    <w:p w:rsidR="00506827" w:rsidRPr="00506827" w:rsidRDefault="00506827" w:rsidP="00506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М.В. Черняева</w:t>
      </w:r>
    </w:p>
    <w:p w:rsidR="00506827" w:rsidRPr="00506827" w:rsidRDefault="00506827" w:rsidP="0050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к решению Думы  </w:t>
      </w:r>
    </w:p>
    <w:p w:rsidR="00506827" w:rsidRPr="00506827" w:rsidRDefault="00506827" w:rsidP="0050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</w:t>
      </w:r>
    </w:p>
    <w:p w:rsidR="00506827" w:rsidRPr="00506827" w:rsidRDefault="00506827" w:rsidP="0050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07.06..2021г. № 6-РД</w:t>
      </w:r>
    </w:p>
    <w:p w:rsidR="00506827" w:rsidRPr="00506827" w:rsidRDefault="00506827" w:rsidP="0050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изменения в местные нормативы градостроительного проектирования</w:t>
      </w: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АФАНАСЬЕВСКОГО МУНИЦИПАЛЬНОГО ОБРАЗОВАНИЯ ТУЛУНСКОГО РАЙОНА ИРКУТСКОЙ ОБЛАСТИ утвержденные решением Думы АФАНАСЬЕВСКОГО  сельского поселения </w:t>
      </w:r>
      <w:r w:rsidRPr="0050682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от</w:t>
      </w:r>
      <w:r w:rsidRPr="005068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12.12.2016 № 23-РД</w:t>
      </w: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Тулун</w:t>
      </w:r>
    </w:p>
    <w:p w:rsidR="00506827" w:rsidRPr="00506827" w:rsidRDefault="00506827" w:rsidP="00506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</w:t>
      </w:r>
      <w:r w:rsidRPr="0050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6827" w:rsidRPr="00506827" w:rsidRDefault="00506827" w:rsidP="00506827">
      <w:pPr>
        <w:tabs>
          <w:tab w:val="right" w:leader="dot" w:pos="9345"/>
        </w:tabs>
        <w:spacing w:after="0" w:line="240" w:lineRule="auto"/>
        <w:contextualSpacing/>
        <w:jc w:val="center"/>
        <w:outlineLvl w:val="0"/>
        <w:rPr>
          <w:rFonts w:asciiTheme="majorHAnsi" w:hAnsiTheme="majorHAnsi"/>
          <w:b/>
          <w:bCs/>
          <w:caps/>
          <w:sz w:val="24"/>
          <w:szCs w:val="24"/>
        </w:rPr>
      </w:pPr>
      <w:bookmarkStart w:id="0" w:name="_Toc54256967"/>
      <w:r w:rsidRPr="00506827">
        <w:rPr>
          <w:rFonts w:asciiTheme="majorHAnsi" w:hAnsiTheme="majorHAnsi"/>
          <w:b/>
          <w:bCs/>
          <w:caps/>
          <w:sz w:val="24"/>
          <w:szCs w:val="24"/>
        </w:rPr>
        <w:lastRenderedPageBreak/>
        <w:t>Содержание</w:t>
      </w:r>
      <w:bookmarkEnd w:id="0"/>
    </w:p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06827">
        <w:rPr>
          <w:rFonts w:ascii="Times New Roman" w:hAnsi="Times New Roman" w:cs="Times New Roman"/>
          <w:bCs/>
          <w:caps/>
          <w:sz w:val="24"/>
          <w:szCs w:val="24"/>
        </w:rPr>
        <w:fldChar w:fldCharType="begin"/>
      </w:r>
      <w:r w:rsidRPr="00506827">
        <w:rPr>
          <w:rFonts w:ascii="Times New Roman" w:hAnsi="Times New Roman" w:cs="Times New Roman"/>
          <w:bCs/>
          <w:caps/>
          <w:sz w:val="24"/>
          <w:szCs w:val="24"/>
        </w:rPr>
        <w:instrText xml:space="preserve"> TOC \o "1-3" \u </w:instrText>
      </w:r>
      <w:r w:rsidRPr="00506827">
        <w:rPr>
          <w:rFonts w:ascii="Times New Roman" w:hAnsi="Times New Roman" w:cs="Times New Roman"/>
          <w:bCs/>
          <w:caps/>
          <w:sz w:val="24"/>
          <w:szCs w:val="24"/>
        </w:rPr>
        <w:fldChar w:fldCharType="separate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Содержание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begin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instrText xml:space="preserve"> PAGEREF _Toc54256967 \h </w:instrTex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separate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3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end"/>
      </w:r>
    </w:p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aps/>
          <w:noProof/>
          <w:sz w:val="24"/>
          <w:szCs w:val="24"/>
        </w:rPr>
      </w:pP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Введение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  <w:t>………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begin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instrText xml:space="preserve"> PAGEREF _Toc54256968 \h </w:instrTex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separate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4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end"/>
      </w:r>
    </w:p>
    <w:p w:rsidR="00506827" w:rsidRPr="00506827" w:rsidRDefault="00506827" w:rsidP="00506827"/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Часть 1.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  <w:t>4</w:t>
      </w:r>
    </w:p>
    <w:p w:rsidR="00506827" w:rsidRPr="00506827" w:rsidRDefault="00506827" w:rsidP="00506827">
      <w:pPr>
        <w:tabs>
          <w:tab w:val="left" w:pos="440"/>
          <w:tab w:val="right" w:leader="dot" w:pos="9498"/>
        </w:tabs>
        <w:spacing w:before="240"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>1.</w:t>
      </w:r>
      <w:r w:rsidRPr="0050682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>Приложение 1 "</w:t>
      </w: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>Термины и определения"</w:t>
      </w: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ab/>
        <w:t>…………………4</w:t>
      </w:r>
    </w:p>
    <w:p w:rsidR="00506827" w:rsidRPr="00506827" w:rsidRDefault="00506827" w:rsidP="00506827"/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Часть 2.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begin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instrText xml:space="preserve"> PAGEREF _Toc54256971 \h </w:instrTex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separate"/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6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fldChar w:fldCharType="end"/>
      </w:r>
    </w:p>
    <w:p w:rsidR="00506827" w:rsidRPr="00506827" w:rsidRDefault="00506827" w:rsidP="00506827">
      <w:pPr>
        <w:tabs>
          <w:tab w:val="left" w:pos="440"/>
          <w:tab w:val="right" w:leader="dot" w:pos="9498"/>
        </w:tabs>
        <w:spacing w:before="240"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>2.</w:t>
      </w:r>
      <w:r w:rsidRPr="0050682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 xml:space="preserve">Книга 2. </w:t>
      </w: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>"Материалы по обоснованию"</w:t>
      </w: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ab/>
        <w:t>5</w:t>
      </w:r>
    </w:p>
    <w:p w:rsidR="00506827" w:rsidRPr="00506827" w:rsidRDefault="00506827" w:rsidP="00506827">
      <w:pPr>
        <w:tabs>
          <w:tab w:val="left" w:pos="880"/>
          <w:tab w:val="right" w:leader="dot" w:pos="9498"/>
        </w:tabs>
        <w:spacing w:after="0"/>
        <w:ind w:left="220"/>
        <w:rPr>
          <w:rFonts w:ascii="Times New Roman" w:hAnsi="Times New Roman" w:cs="Times New Roman"/>
          <w:noProof/>
          <w:sz w:val="24"/>
          <w:szCs w:val="24"/>
        </w:rPr>
      </w:pPr>
      <w:r w:rsidRPr="00506827">
        <w:rPr>
          <w:rFonts w:ascii="Times New Roman" w:hAnsi="Times New Roman" w:cs="Times New Roman"/>
          <w:noProof/>
          <w:sz w:val="24"/>
          <w:szCs w:val="24"/>
        </w:rPr>
        <w:t>2.1</w:t>
      </w:r>
      <w:r w:rsidRPr="0050682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506827">
        <w:rPr>
          <w:rFonts w:ascii="Times New Roman" w:hAnsi="Times New Roman" w:cs="Times New Roman"/>
          <w:noProof/>
          <w:sz w:val="24"/>
          <w:szCs w:val="24"/>
        </w:rPr>
        <w:t>Введение.</w:t>
      </w:r>
      <w:r w:rsidRPr="00506827">
        <w:rPr>
          <w:rFonts w:ascii="Times New Roman" w:hAnsi="Times New Roman" w:cs="Times New Roman"/>
          <w:noProof/>
          <w:sz w:val="24"/>
          <w:szCs w:val="24"/>
        </w:rPr>
        <w:tab/>
        <w:t>5</w:t>
      </w:r>
    </w:p>
    <w:p w:rsidR="00506827" w:rsidRPr="00506827" w:rsidRDefault="00506827" w:rsidP="00506827">
      <w:pPr>
        <w:ind w:right="-143"/>
        <w:rPr>
          <w:rFonts w:ascii="Times New Roman" w:hAnsi="Times New Roman" w:cs="Times New Roman"/>
          <w:sz w:val="24"/>
          <w:szCs w:val="24"/>
        </w:rPr>
      </w:pPr>
      <w:r w:rsidRPr="00506827">
        <w:t xml:space="preserve">    </w:t>
      </w:r>
      <w:r w:rsidRPr="00506827">
        <w:rPr>
          <w:rFonts w:ascii="Times New Roman" w:hAnsi="Times New Roman" w:cs="Times New Roman"/>
          <w:sz w:val="24"/>
          <w:szCs w:val="24"/>
        </w:rPr>
        <w:t>2.2.     Обоснование расчетных показателей велосипедных дорожек ……………………..5</w:t>
      </w:r>
    </w:p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Часть 3.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  <w:t>6</w:t>
      </w:r>
    </w:p>
    <w:p w:rsidR="00506827" w:rsidRPr="00506827" w:rsidRDefault="00506827" w:rsidP="00506827">
      <w:pPr>
        <w:tabs>
          <w:tab w:val="left" w:pos="440"/>
          <w:tab w:val="right" w:leader="dot" w:pos="9498"/>
        </w:tabs>
        <w:spacing w:before="240"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>3.</w:t>
      </w:r>
      <w:r w:rsidRPr="0050682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 xml:space="preserve">Книга 1. </w:t>
      </w:r>
      <w:r w:rsidRPr="00506827">
        <w:rPr>
          <w:rFonts w:ascii="Times New Roman" w:hAnsi="Times New Roman" w:cs="Times New Roman"/>
          <w:bCs/>
          <w:sz w:val="24"/>
          <w:szCs w:val="24"/>
        </w:rPr>
        <w:t>Велосипедные дорожки за границами населенных пунктов</w:t>
      </w:r>
      <w:r w:rsidRPr="00506827">
        <w:rPr>
          <w:rFonts w:ascii="Times New Roman" w:hAnsi="Times New Roman" w:cs="Times New Roman"/>
          <w:bCs/>
          <w:noProof/>
          <w:sz w:val="24"/>
          <w:szCs w:val="24"/>
        </w:rPr>
        <w:tab/>
        <w:t>…6</w:t>
      </w:r>
    </w:p>
    <w:p w:rsidR="00506827" w:rsidRPr="00506827" w:rsidRDefault="00506827" w:rsidP="00506827"/>
    <w:p w:rsidR="00506827" w:rsidRPr="00506827" w:rsidRDefault="00506827" w:rsidP="00506827">
      <w:pPr>
        <w:tabs>
          <w:tab w:val="right" w:leader="dot" w:pos="9498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>Часть 4.</w:t>
      </w:r>
      <w:r w:rsidRPr="00506827">
        <w:rPr>
          <w:rFonts w:ascii="Times New Roman" w:hAnsi="Times New Roman" w:cs="Times New Roman"/>
          <w:bCs/>
          <w:caps/>
          <w:noProof/>
          <w:sz w:val="24"/>
          <w:szCs w:val="24"/>
        </w:rPr>
        <w:tab/>
        <w:t>7</w:t>
      </w:r>
    </w:p>
    <w:p w:rsidR="00506827" w:rsidRPr="00506827" w:rsidRDefault="00506827" w:rsidP="00506827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6827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50682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Книга 3. </w:t>
      </w:r>
      <w:r w:rsidRPr="00506827">
        <w:rPr>
          <w:rFonts w:ascii="Times New Roman" w:hAnsi="Times New Roman" w:cs="Times New Roman"/>
          <w:sz w:val="24"/>
          <w:szCs w:val="24"/>
        </w:rPr>
        <w:t>Область применения расчетных показателей……………………………………..</w:t>
      </w:r>
      <w:r w:rsidRPr="00506827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5068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506827">
        <w:rPr>
          <w:rFonts w:ascii="Times New Roman" w:eastAsiaTheme="majorEastAsia" w:hAnsi="Times New Roman" w:cstheme="majorBidi"/>
          <w:b/>
          <w:bCs/>
          <w:sz w:val="28"/>
          <w:szCs w:val="28"/>
        </w:rPr>
        <w:t>Введение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внесены в действующие нормативы градостроительного проектирования   Афанасьевского муниципального образования Тулунского района Иркутской области  и обусловлены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09.03.2021г № 02-82-273/21)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обеспечены требования: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разработка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установлены нормативы и нормы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поручением Президента Российской Федерации, требованием Службы архитектуры Иркутской области, главой Афанасьевского сельского поселения было принято решение о подготовке проекта «Внесение изменений в местные нормативы градостроительного проектирования Афанасьевского муниципального образования Тулунского района Иркутской области утвержденные решением Думы Афанасьевского сельского поселения от 12.12.2016 № 23-РД». Проект внесения изменений подготовлен Комитетом по строительству, дорожному хозяйству администрации Тулунского муниципального района. 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местные нормативы градостроительного проектирования 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 разработаны Обществом с ограниченной ответственностью «Проектно-планировочная мастерская «Мастер-План» и утверждены Решением Думы Афанасьевского сельского поселения от 12.12.2016 № 23-РД «Об утверждении местных нормативов градостроительного проектирования  Афанасьевского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Афанасьевского сельского поселения.</w:t>
      </w:r>
      <w:proofErr w:type="gramEnd"/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местные нормативы градостроительного проектирования Афанасьевского сельского поселения состоят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827" w:rsidRPr="00506827" w:rsidRDefault="00506827" w:rsidP="00506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827">
        <w:rPr>
          <w:rFonts w:ascii="Times New Roman" w:hAnsi="Times New Roman" w:cs="Times New Roman"/>
          <w:bCs/>
          <w:sz w:val="24"/>
          <w:szCs w:val="24"/>
        </w:rPr>
        <w:t>Приложения 1 «Термины и определения»;</w:t>
      </w:r>
    </w:p>
    <w:p w:rsidR="00506827" w:rsidRPr="00506827" w:rsidRDefault="00506827" w:rsidP="00506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827">
        <w:rPr>
          <w:rFonts w:ascii="Times New Roman" w:hAnsi="Times New Roman" w:cs="Times New Roman"/>
          <w:sz w:val="24"/>
          <w:szCs w:val="24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506827" w:rsidRPr="00506827" w:rsidRDefault="00506827" w:rsidP="00506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827">
        <w:rPr>
          <w:rFonts w:ascii="Times New Roman" w:hAnsi="Times New Roman" w:cs="Times New Roman"/>
          <w:sz w:val="24"/>
          <w:szCs w:val="24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06827" w:rsidRPr="00506827" w:rsidRDefault="00506827" w:rsidP="00506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827">
        <w:rPr>
          <w:rFonts w:ascii="Times New Roman" w:hAnsi="Times New Roman" w:cs="Times New Roman"/>
          <w:sz w:val="24"/>
          <w:szCs w:val="24"/>
        </w:rPr>
        <w:lastRenderedPageBreak/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внесены в каждый раздел действующих местных нормативов градостроительного проектирования Афанасьевского муниципального образования Тулунского района Иркутской области, в части установления норматива обеспеченности населения велосипедными дорожками и полосами для велосипедистов Афанасьевского сельского поселения.</w:t>
      </w:r>
      <w:proofErr w:type="gramEnd"/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 1.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«Термины и определения» дополнить следующими формулировками: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Велосипед 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транспортное средство, кроме инвалидных колясок, которое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Велопешеходная</w:t>
      </w:r>
      <w:proofErr w:type="spellEnd"/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дорожка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Велосипедист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управляющее велосипедом.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дорожка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506827" w:rsidRPr="00506827" w:rsidRDefault="00506827" w:rsidP="00506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Полоса для велосипедистов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506827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Часть 2.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2.  «</w:t>
      </w:r>
      <w:r w:rsidRPr="005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обоснованию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следующими формулировками: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keepNext/>
        <w:keepLines/>
        <w:spacing w:after="0" w:line="360" w:lineRule="auto"/>
        <w:ind w:firstLine="709"/>
        <w:contextualSpacing/>
        <w:outlineLvl w:val="1"/>
        <w:rPr>
          <w:rFonts w:ascii="Times New Roman" w:eastAsiaTheme="majorEastAsia" w:hAnsi="Times New Roman" w:cs="Times New Roman"/>
          <w:b/>
          <w:bCs/>
          <w:position w:val="6"/>
          <w:sz w:val="28"/>
          <w:szCs w:val="24"/>
        </w:rPr>
      </w:pPr>
      <w:r w:rsidRPr="00506827">
        <w:rPr>
          <w:rFonts w:ascii="Times New Roman" w:eastAsiaTheme="majorEastAsia" w:hAnsi="Times New Roman" w:cs="Times New Roman"/>
          <w:b/>
          <w:bCs/>
          <w:position w:val="6"/>
          <w:sz w:val="28"/>
          <w:szCs w:val="24"/>
        </w:rPr>
        <w:t>Введение.</w:t>
      </w:r>
    </w:p>
    <w:p w:rsidR="00506827" w:rsidRPr="00506827" w:rsidRDefault="00506827" w:rsidP="00506827">
      <w:pPr>
        <w:numPr>
          <w:ilvl w:val="0"/>
          <w:numId w:val="2"/>
        </w:num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Законами и иными правовыми актами Российской Федерации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требования, введенного в действие приказом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31.08.20.</w:t>
      </w:r>
      <w:proofErr w:type="gramEnd"/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Методические рекомендации 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15 N 1206-ст.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Методические рекомендации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и реализации мероприятий по организации дорожного движения.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транспорта в городах России" 5 октября 2017 года), </w:t>
      </w:r>
      <w:proofErr w:type="gramEnd"/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06827">
        <w:rPr>
          <w:rFonts w:ascii="Times New Roman" w:eastAsiaTheme="majorEastAsia" w:hAnsi="Times New Roman" w:cs="Times New Roman"/>
          <w:b/>
          <w:bCs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3.5. Транспорт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Дополнить пп.3.5.4 Обоснование расчетных показателей велосипедных дорожек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для велосипедистов на проезжей части допускается устраивать на обычных автомобильных дорогах  с интенсивностью движения менее 2000 авт./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требования, введенного в действие приказом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</w:t>
      </w:r>
      <w:proofErr w:type="gramEnd"/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3.9.1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506827" w:rsidRPr="00506827" w:rsidTr="00EB7433">
        <w:tc>
          <w:tcPr>
            <w:tcW w:w="5778" w:type="dxa"/>
          </w:tcPr>
          <w:p w:rsidR="00506827" w:rsidRPr="00506827" w:rsidRDefault="00506827" w:rsidP="00506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993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57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06827" w:rsidRPr="00506827" w:rsidTr="00EB7433">
        <w:tc>
          <w:tcPr>
            <w:tcW w:w="5778" w:type="dxa"/>
          </w:tcPr>
          <w:p w:rsidR="00506827" w:rsidRPr="00506827" w:rsidRDefault="00506827" w:rsidP="00506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сельских поселениях велосипедные дорожки могут быть совмещены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пешеходными. Тротуары и велосипедные дорожки следует устраивать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приподнятыми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1" w:name="_Toc54256971"/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1. «</w:t>
      </w:r>
      <w:r w:rsidRPr="0050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часть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1.5 «Транспорт» дополнить следующими формулировками: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06827">
        <w:rPr>
          <w:rFonts w:ascii="Times New Roman" w:eastAsiaTheme="majorEastAsia" w:hAnsi="Times New Roman" w:cs="Times New Roman"/>
          <w:b/>
          <w:bCs/>
          <w:sz w:val="24"/>
          <w:szCs w:val="24"/>
        </w:rPr>
        <w:t>1.5.4 Велосипедные дорожки в границах населенных пунктов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Расчетные показатели плотности сети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велотранспортной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определяют минимально допустимый уровень обеспеченности.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велополосами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застроенной, планируемой к застройке территории.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велотранспортной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(велосипедные дорожки,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велополосы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системе элементов обустройства автомобильных дорог для населения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нормируются.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велосипедов</w:t>
      </w:r>
      <w:proofErr w:type="gram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таблице 1.7.1.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506827" w:rsidRPr="00506827" w:rsidTr="00EB7433">
        <w:tc>
          <w:tcPr>
            <w:tcW w:w="5778" w:type="dxa"/>
          </w:tcPr>
          <w:p w:rsidR="00506827" w:rsidRPr="00506827" w:rsidRDefault="00506827" w:rsidP="00506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proofErr w:type="gramEnd"/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993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57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06827" w:rsidRPr="00506827" w:rsidTr="00EB7433">
        <w:tc>
          <w:tcPr>
            <w:tcW w:w="5778" w:type="dxa"/>
          </w:tcPr>
          <w:p w:rsidR="00506827" w:rsidRPr="00506827" w:rsidRDefault="00506827" w:rsidP="00506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vAlign w:val="center"/>
          </w:tcPr>
          <w:p w:rsidR="00506827" w:rsidRPr="00506827" w:rsidRDefault="00506827" w:rsidP="005068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06827" w:rsidRPr="00506827" w:rsidRDefault="00506827" w:rsidP="00506827">
      <w:pPr>
        <w:keepNext/>
        <w:keepLines/>
        <w:spacing w:before="480" w:after="0" w:line="360" w:lineRule="auto"/>
        <w:ind w:left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506827">
        <w:rPr>
          <w:rFonts w:ascii="Times New Roman" w:eastAsiaTheme="majorEastAsia" w:hAnsi="Times New Roman" w:cstheme="majorBidi"/>
          <w:b/>
          <w:bCs/>
          <w:sz w:val="28"/>
          <w:szCs w:val="28"/>
        </w:rPr>
        <w:t>Часть 4.</w:t>
      </w:r>
      <w:bookmarkEnd w:id="1"/>
    </w:p>
    <w:p w:rsidR="00506827" w:rsidRPr="00506827" w:rsidRDefault="00506827" w:rsidP="0050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3.</w:t>
      </w: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w:anchor="_Toc493164997" w:history="1">
        <w:r w:rsidRPr="0050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 и область применения</w:t>
        </w:r>
      </w:hyperlink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следующими формулировками:</w:t>
      </w:r>
    </w:p>
    <w:p w:rsidR="00506827" w:rsidRPr="00506827" w:rsidRDefault="00506827" w:rsidP="0050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27" w:rsidRPr="00506827" w:rsidRDefault="00506827" w:rsidP="00506827">
      <w:pPr>
        <w:numPr>
          <w:ilvl w:val="1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bookmarkStart w:id="2" w:name="_Toc431808971"/>
      <w:bookmarkStart w:id="3" w:name="_Toc431809056"/>
      <w:bookmarkStart w:id="4" w:name="_Toc491644073"/>
      <w:bookmarkStart w:id="5" w:name="_Toc493164998"/>
      <w:bookmarkStart w:id="6" w:name="_Toc54256973"/>
      <w:r w:rsidRPr="00506827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Область применения расчетных показателей</w:t>
      </w:r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50682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</w:p>
    <w:p w:rsidR="00506827" w:rsidRPr="00506827" w:rsidRDefault="00506827" w:rsidP="0050682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50682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50682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Шерагульского</w:t>
      </w:r>
      <w:proofErr w:type="spellEnd"/>
      <w:r w:rsidRPr="00506827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сельского поселения, установленные в МНГП добавить:</w:t>
      </w:r>
    </w:p>
    <w:p w:rsidR="00506827" w:rsidRPr="00506827" w:rsidRDefault="00506827" w:rsidP="00506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proofErr w:type="spellStart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proofErr w:type="spellEnd"/>
      <w:r w:rsidRPr="0050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Тулунского района Иркутской о</w:t>
      </w:r>
    </w:p>
    <w:p w:rsidR="009657CA" w:rsidRDefault="00506827">
      <w:bookmarkStart w:id="7" w:name="_GoBack"/>
      <w:bookmarkEnd w:id="7"/>
    </w:p>
    <w:sectPr w:rsidR="009657CA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AC"/>
    <w:rsid w:val="00506827"/>
    <w:rsid w:val="006D6AA7"/>
    <w:rsid w:val="00A673E8"/>
    <w:rsid w:val="00D4509F"/>
    <w:rsid w:val="00E56D29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1961</Words>
  <Characters>11178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2021-06-07T06:21:00Z</dcterms:created>
  <dcterms:modified xsi:type="dcterms:W3CDTF">2021-06-07T06:23:00Z</dcterms:modified>
</cp:coreProperties>
</file>