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53C8B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53C8B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24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2021 г.                                          №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61-РГ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д.Афанасьева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утверждении перечня </w:t>
      </w:r>
      <w:proofErr w:type="gramStart"/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главных</w:t>
      </w:r>
      <w:proofErr w:type="gramEnd"/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администраторов доходов бюджета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Афанасьевского муниципального 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образования  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 с пунктом 3.2. статьи 160.1. </w:t>
      </w:r>
      <w:proofErr w:type="gramStart"/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фонда обязательного медицинского страхования, местного бюджета», руководствуясь статьей 24, 40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numPr>
          <w:ilvl w:val="0"/>
          <w:numId w:val="1"/>
        </w:numPr>
        <w:tabs>
          <w:tab w:val="left" w:pos="709"/>
        </w:tabs>
        <w:spacing w:after="0" w:line="320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образования -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органов местного самоуправления  (прилагается).</w:t>
      </w:r>
    </w:p>
    <w:p w:rsidR="00B774DC" w:rsidRPr="00B774DC" w:rsidRDefault="00B774DC" w:rsidP="00B774DC">
      <w:pPr>
        <w:widowControl w:val="0"/>
        <w:tabs>
          <w:tab w:val="left" w:pos="709"/>
        </w:tabs>
        <w:spacing w:after="0" w:line="32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2.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Утвердить перечень главных администраторов доходов бюджета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образования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B774DC" w:rsidRPr="00B774DC" w:rsidRDefault="00B774DC" w:rsidP="00B774DC">
      <w:pPr>
        <w:widowControl w:val="0"/>
        <w:tabs>
          <w:tab w:val="left" w:pos="709"/>
        </w:tabs>
        <w:spacing w:after="0" w:line="32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3.Установить, что настоящее распоряжение применяется к правоотношениям, возникающим при составлении и исполнении бюджета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образования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начиная с бюджета на 2022 год и на плановый период 2023 и 2024 годов. </w:t>
      </w:r>
    </w:p>
    <w:p w:rsidR="00B774DC" w:rsidRPr="00B774DC" w:rsidRDefault="00B774DC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</w:t>
      </w:r>
      <w:r w:rsidRPr="00B774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77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«Афанасьевский вестник» и разместить на официальном сайте администрации Афанасьевского сельского поселения.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В.Ю.Лобанов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распоряжением</w:t>
      </w: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</w:t>
      </w:r>
    </w:p>
    <w:p w:rsidR="00B774DC" w:rsidRPr="00B774DC" w:rsidRDefault="00B774DC" w:rsidP="00B774DC">
      <w:pPr>
        <w:widowControl w:val="0"/>
        <w:spacing w:after="0" w:line="317" w:lineRule="exact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 «</w:t>
      </w:r>
      <w:r w:rsidR="00BA4298">
        <w:rPr>
          <w:rFonts w:ascii="Times New Roman" w:eastAsia="Arial Unicode MS" w:hAnsi="Times New Roman" w:cs="Times New Roman"/>
          <w:sz w:val="24"/>
          <w:szCs w:val="24"/>
          <w:lang w:eastAsia="ru-RU"/>
        </w:rPr>
        <w:t>24</w:t>
      </w: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="00BA42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ноября </w:t>
      </w: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2021 года </w:t>
      </w:r>
      <w:r w:rsidR="00BA4298">
        <w:rPr>
          <w:rFonts w:ascii="Times New Roman" w:eastAsia="Arial Unicode MS" w:hAnsi="Times New Roman" w:cs="Times New Roman"/>
          <w:sz w:val="24"/>
          <w:szCs w:val="24"/>
          <w:lang w:eastAsia="ru-RU"/>
        </w:rPr>
        <w:t>61-РГ</w:t>
      </w:r>
      <w:bookmarkStart w:id="0" w:name="_GoBack"/>
      <w:bookmarkEnd w:id="0"/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ПЕРЕЧЕНЬ</w:t>
      </w:r>
    </w:p>
    <w:p w:rsidR="00B774DC" w:rsidRPr="00B774DC" w:rsidRDefault="00B774DC" w:rsidP="00B774D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главных администраторов доходов бюджета 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 образования - органов</w:t>
      </w:r>
      <w:r w:rsidRPr="00B77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B774DC" w:rsidRPr="00B774DC" w:rsidTr="00D53C8B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Наименование главного администратора доходов</w:t>
            </w:r>
          </w:p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бюджета / Наименование кода вида доходов бюджета</w:t>
            </w:r>
          </w:p>
        </w:tc>
      </w:tr>
      <w:tr w:rsidR="00B774DC" w:rsidRPr="00B774DC" w:rsidTr="00D53C8B">
        <w:trPr>
          <w:trHeight w:val="20"/>
          <w:tblHeader/>
        </w:trPr>
        <w:tc>
          <w:tcPr>
            <w:tcW w:w="1135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главного администратора</w:t>
            </w: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br/>
              <w:t>доходов бюджета</w:t>
            </w:r>
          </w:p>
        </w:tc>
        <w:tc>
          <w:tcPr>
            <w:tcW w:w="2551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3"/>
                <w:szCs w:val="23"/>
                <w:lang w:eastAsia="ru-RU"/>
              </w:rPr>
            </w:pPr>
          </w:p>
        </w:tc>
      </w:tr>
      <w:tr w:rsidR="00B774DC" w:rsidRPr="00B774DC" w:rsidTr="00D53C8B">
        <w:trPr>
          <w:trHeight w:val="20"/>
          <w:tblHeader/>
        </w:trPr>
        <w:tc>
          <w:tcPr>
            <w:tcW w:w="1135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Афанасьевского сельского поселения 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1995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10 0001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065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74DC" w:rsidRPr="00B774DC" w:rsidTr="00D53C8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B774DC" w:rsidRPr="00B774DC" w:rsidRDefault="00B774DC" w:rsidP="00B7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B77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</w:tbl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77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поселения.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77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 </w:t>
      </w:r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 осуществляется главным администратором, указанным в </w:t>
      </w:r>
      <w:proofErr w:type="spellStart"/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классификации.</w:t>
      </w: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УТВЕРЖДЕН</w:t>
      </w: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распоряжением</w:t>
      </w: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</w:t>
      </w:r>
    </w:p>
    <w:p w:rsidR="00B774DC" w:rsidRPr="00B774DC" w:rsidRDefault="00B774DC" w:rsidP="00B774DC">
      <w:pPr>
        <w:widowControl w:val="0"/>
        <w:spacing w:after="0" w:line="317" w:lineRule="exact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«    »             2021 года №            </w:t>
      </w: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B774DC" w:rsidRPr="00B774DC" w:rsidRDefault="00B774DC" w:rsidP="00B774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главных администраторов доходов бюджета 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Афанасьевского муниципального образования </w:t>
      </w:r>
      <w:r w:rsidRPr="00B774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B774DC" w:rsidRPr="00B774DC" w:rsidRDefault="00B774DC" w:rsidP="00B774DC">
      <w:pPr>
        <w:widowControl w:val="0"/>
        <w:spacing w:after="0" w:line="317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B774DC" w:rsidRPr="00B774DC" w:rsidTr="00D53C8B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Наименование главного администратора доходов</w:t>
            </w:r>
          </w:p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бюджета / Наименование кода вида доходов бюджета</w:t>
            </w:r>
          </w:p>
        </w:tc>
      </w:tr>
      <w:tr w:rsidR="00B774DC" w:rsidRPr="00B774DC" w:rsidTr="00D53C8B">
        <w:trPr>
          <w:trHeight w:val="20"/>
          <w:tblHeader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главного администратора</w:t>
            </w: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br/>
              <w:t>доходов бюджета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3"/>
                <w:szCs w:val="23"/>
                <w:lang w:eastAsia="ru-RU"/>
              </w:rPr>
            </w:pPr>
          </w:p>
        </w:tc>
      </w:tr>
      <w:tr w:rsidR="00B774DC" w:rsidRPr="00B774DC" w:rsidTr="00D53C8B">
        <w:trPr>
          <w:trHeight w:val="20"/>
          <w:tblHeader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vertAlign w:val="superscript"/>
              </w:rPr>
              <w:t>1,2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Налог на доходы физических лиц  </w:t>
            </w: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vertAlign w:val="superscript"/>
              </w:rPr>
              <w:t>1,2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vertAlign w:val="superscript"/>
              </w:rPr>
              <w:t>1,2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Налог на имущество физических лиц </w:t>
            </w: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vertAlign w:val="superscript"/>
              </w:rPr>
              <w:t>1,2</w:t>
            </w:r>
          </w:p>
        </w:tc>
      </w:tr>
      <w:tr w:rsidR="00B774DC" w:rsidRPr="00B774DC" w:rsidTr="00D53C8B">
        <w:trPr>
          <w:trHeight w:val="20"/>
        </w:trPr>
        <w:tc>
          <w:tcPr>
            <w:tcW w:w="1017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59" w:type="dxa"/>
            <w:vAlign w:val="center"/>
          </w:tcPr>
          <w:p w:rsidR="00B774DC" w:rsidRPr="00B774DC" w:rsidRDefault="00B774DC" w:rsidP="00B774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681" w:type="dxa"/>
            <w:vAlign w:val="center"/>
          </w:tcPr>
          <w:p w:rsidR="00B774DC" w:rsidRPr="00B774DC" w:rsidRDefault="00B774DC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Земельный налог </w:t>
            </w:r>
            <w:r w:rsidRPr="00B774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vertAlign w:val="superscript"/>
              </w:rPr>
              <w:t>1,2</w:t>
            </w:r>
          </w:p>
        </w:tc>
      </w:tr>
    </w:tbl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группировочном</w:t>
      </w:r>
      <w:proofErr w:type="spellEnd"/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коде бюджетной классификации.</w:t>
      </w:r>
    </w:p>
    <w:p w:rsidR="00B774DC" w:rsidRPr="00B774DC" w:rsidRDefault="00B774DC" w:rsidP="00B774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B77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части доходов, зачисляемых в бюджет сельского поселения.</w:t>
      </w:r>
    </w:p>
    <w:p w:rsidR="009657CA" w:rsidRDefault="00BA4298"/>
    <w:sectPr w:rsidR="009657CA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3C22B4"/>
    <w:rsid w:val="006D6AA7"/>
    <w:rsid w:val="00A673E8"/>
    <w:rsid w:val="00B774DC"/>
    <w:rsid w:val="00BA429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6978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2021-11-24T06:53:00Z</dcterms:created>
  <dcterms:modified xsi:type="dcterms:W3CDTF">2021-11-24T06:55:00Z</dcterms:modified>
</cp:coreProperties>
</file>