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расположенного на землях сельскохозяйственного назначения по адресу: </w:t>
      </w:r>
      <w:r w:rsidRPr="00124BAE">
        <w:rPr>
          <w:sz w:val="28"/>
          <w:szCs w:val="28"/>
        </w:rPr>
        <w:t>Иркутская область, Тулу</w:t>
      </w:r>
      <w:r w:rsidR="00CE12B1">
        <w:rPr>
          <w:sz w:val="28"/>
          <w:szCs w:val="28"/>
        </w:rPr>
        <w:t xml:space="preserve">нский район, Афанасьевское МО, 1500 м. северо- восточней </w:t>
      </w:r>
      <w:r w:rsidRPr="00124BAE">
        <w:rPr>
          <w:sz w:val="28"/>
          <w:szCs w:val="28"/>
        </w:rPr>
        <w:t xml:space="preserve"> </w:t>
      </w:r>
      <w:r w:rsidR="00CE12B1">
        <w:rPr>
          <w:sz w:val="28"/>
          <w:szCs w:val="28"/>
        </w:rPr>
        <w:t xml:space="preserve">д. </w:t>
      </w:r>
      <w:proofErr w:type="spellStart"/>
      <w:r w:rsidR="00CE12B1">
        <w:rPr>
          <w:sz w:val="28"/>
          <w:szCs w:val="28"/>
        </w:rPr>
        <w:t>Заусаева</w:t>
      </w:r>
      <w:proofErr w:type="spellEnd"/>
      <w:r w:rsidRPr="00124BAE">
        <w:rPr>
          <w:sz w:val="28"/>
          <w:szCs w:val="28"/>
        </w:rPr>
        <w:t>, участок 1.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>Установить разрешенное использование – «для сенокошения».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520C42"/>
    <w:rsid w:val="006D6AA7"/>
    <w:rsid w:val="00774318"/>
    <w:rsid w:val="00A673E8"/>
    <w:rsid w:val="00CE12B1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9654-6E0F-41C0-B1A9-58386BE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2022-01-28T05:30:00Z</cp:lastPrinted>
  <dcterms:created xsi:type="dcterms:W3CDTF">2018-06-06T00:29:00Z</dcterms:created>
  <dcterms:modified xsi:type="dcterms:W3CDTF">2022-03-23T01:30:00Z</dcterms:modified>
</cp:coreProperties>
</file>