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C" w:rsidRDefault="00F2384C" w:rsidP="00505CAE">
      <w:pPr>
        <w:pStyle w:val="1"/>
        <w:ind w:firstLine="709"/>
        <w:rPr>
          <w:noProof/>
          <w:sz w:val="28"/>
          <w:szCs w:val="28"/>
        </w:rPr>
      </w:pPr>
    </w:p>
    <w:p w:rsidR="00DB5A22" w:rsidRPr="00DB5A22" w:rsidRDefault="00DB5A22" w:rsidP="00DB5A22"/>
    <w:p w:rsidR="00F2384C" w:rsidRPr="00505CAE" w:rsidRDefault="00F2384C" w:rsidP="00505CAE">
      <w:pPr>
        <w:pStyle w:val="1"/>
        <w:ind w:firstLine="709"/>
        <w:rPr>
          <w:sz w:val="28"/>
          <w:szCs w:val="28"/>
        </w:rPr>
      </w:pPr>
      <w:r w:rsidRPr="00505CAE">
        <w:rPr>
          <w:sz w:val="28"/>
          <w:szCs w:val="28"/>
        </w:rPr>
        <w:t>Иркутская область</w:t>
      </w:r>
    </w:p>
    <w:p w:rsidR="00F2384C" w:rsidRPr="00505CAE" w:rsidRDefault="00F2384C" w:rsidP="00505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AE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2384C" w:rsidRPr="00505CAE" w:rsidRDefault="00F2384C" w:rsidP="00505CAE">
      <w:pPr>
        <w:pStyle w:val="2"/>
        <w:ind w:firstLine="709"/>
        <w:rPr>
          <w:sz w:val="28"/>
          <w:szCs w:val="28"/>
        </w:rPr>
      </w:pPr>
      <w:r w:rsidRPr="00505CAE">
        <w:rPr>
          <w:sz w:val="28"/>
          <w:szCs w:val="28"/>
        </w:rPr>
        <w:t>ДУМА АФАНАСЬЕВСКОГО СЕЛЬСКОГО ПОСЕЛЕНИЯ</w:t>
      </w:r>
    </w:p>
    <w:p w:rsidR="00F2384C" w:rsidRPr="00505CAE" w:rsidRDefault="00F2384C" w:rsidP="00505CAE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4C" w:rsidRPr="00505CAE" w:rsidRDefault="00F2384C" w:rsidP="00505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84C" w:rsidRPr="00505CAE" w:rsidRDefault="00F2384C" w:rsidP="0050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4C" w:rsidRPr="00505CAE" w:rsidRDefault="00F2384C" w:rsidP="00505C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AE">
        <w:rPr>
          <w:rFonts w:ascii="Times New Roman" w:hAnsi="Times New Roman" w:cs="Times New Roman"/>
          <w:sz w:val="28"/>
          <w:szCs w:val="28"/>
        </w:rPr>
        <w:t>«</w:t>
      </w:r>
      <w:r w:rsidR="00DC00E3" w:rsidRPr="00505CAE">
        <w:rPr>
          <w:rFonts w:ascii="Times New Roman" w:hAnsi="Times New Roman" w:cs="Times New Roman"/>
          <w:sz w:val="28"/>
          <w:szCs w:val="28"/>
        </w:rPr>
        <w:t>23</w:t>
      </w:r>
      <w:r w:rsidRPr="00505CAE">
        <w:rPr>
          <w:rFonts w:ascii="Times New Roman" w:hAnsi="Times New Roman" w:cs="Times New Roman"/>
          <w:sz w:val="28"/>
          <w:szCs w:val="28"/>
        </w:rPr>
        <w:t xml:space="preserve">» </w:t>
      </w:r>
      <w:r w:rsidR="00DC00E3" w:rsidRPr="00505CAE">
        <w:rPr>
          <w:rFonts w:ascii="Times New Roman" w:hAnsi="Times New Roman" w:cs="Times New Roman"/>
          <w:sz w:val="28"/>
          <w:szCs w:val="28"/>
        </w:rPr>
        <w:t xml:space="preserve">мая </w:t>
      </w:r>
      <w:r w:rsidRPr="00505CAE">
        <w:rPr>
          <w:rFonts w:ascii="Times New Roman" w:hAnsi="Times New Roman" w:cs="Times New Roman"/>
          <w:sz w:val="28"/>
          <w:szCs w:val="28"/>
        </w:rPr>
        <w:t xml:space="preserve">2014 г.                                                                        № </w:t>
      </w:r>
      <w:r w:rsidR="00DC00E3" w:rsidRPr="00505CAE">
        <w:rPr>
          <w:rFonts w:ascii="Times New Roman" w:hAnsi="Times New Roman" w:cs="Times New Roman"/>
          <w:sz w:val="28"/>
          <w:szCs w:val="28"/>
        </w:rPr>
        <w:t>11</w:t>
      </w:r>
      <w:r w:rsidRPr="00505CAE">
        <w:rPr>
          <w:rFonts w:ascii="Times New Roman" w:hAnsi="Times New Roman" w:cs="Times New Roman"/>
          <w:sz w:val="28"/>
          <w:szCs w:val="28"/>
        </w:rPr>
        <w:t>-РД</w:t>
      </w:r>
    </w:p>
    <w:p w:rsidR="00F2384C" w:rsidRPr="00505CAE" w:rsidRDefault="00F2384C" w:rsidP="00505C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AE">
        <w:rPr>
          <w:rFonts w:ascii="Times New Roman" w:hAnsi="Times New Roman" w:cs="Times New Roman"/>
          <w:sz w:val="28"/>
          <w:szCs w:val="28"/>
        </w:rPr>
        <w:t>д. Афанасьева</w:t>
      </w:r>
    </w:p>
    <w:p w:rsidR="00F2384C" w:rsidRPr="00505CAE" w:rsidRDefault="00F2384C" w:rsidP="0050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4C" w:rsidRPr="00505CAE" w:rsidRDefault="00F2384C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DF799F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 утверждении </w:t>
      </w:r>
      <w:r w:rsidR="00505CAE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DF799F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рограммы</w:t>
      </w:r>
    </w:p>
    <w:p w:rsidR="00F2384C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комплексного развития</w:t>
      </w:r>
      <w:r w:rsidR="00F2384C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</w:t>
      </w:r>
    </w:p>
    <w:p w:rsidR="00F2384C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коммунальной инфраструктуры</w:t>
      </w:r>
    </w:p>
    <w:p w:rsidR="00505CAE" w:rsidRPr="00505CAE" w:rsidRDefault="00F2384C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Афанасьевского </w:t>
      </w:r>
      <w:r w:rsidR="00DF799F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</w:p>
    <w:p w:rsidR="00F2384C" w:rsidRPr="00505CAE" w:rsidRDefault="00505CAE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образования на</w:t>
      </w:r>
      <w:r w:rsidR="00DF799F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DE1BA5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DF799F" w:rsidRPr="00505CAE">
        <w:rPr>
          <w:rFonts w:ascii="Times New Roman" w:eastAsia="Times New Roman" w:hAnsi="Times New Roman" w:cs="Times New Roman"/>
          <w:b/>
          <w:i/>
          <w:sz w:val="28"/>
          <w:szCs w:val="28"/>
        </w:rPr>
        <w:t>- 2034 годы</w:t>
      </w:r>
    </w:p>
    <w:p w:rsidR="00F2384C" w:rsidRPr="00505CAE" w:rsidRDefault="00F2384C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384C" w:rsidRPr="00505CAE" w:rsidRDefault="00F2384C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384C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30.12.2004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№ 210-ФЗ «Об основах регулирования тарифов организаций коммунального комплекса», м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тодическими рекомендациями по разработке программ комплексного развития систем коммунальной инфраструктуры муниципальных образований утве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жденными приказом Министерства регионального развития Российской Фед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рации от 06.05.2011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204 «О разработке программ комплексного развития систем коммунальной инфраструктуры муниципальных образований»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>, руков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>дствуясь У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>Афанасьевского муниципального образования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>Дума Аф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насьевского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2384C" w:rsidRPr="00505CAE" w:rsidRDefault="00F2384C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4C" w:rsidRPr="00505CAE" w:rsidRDefault="00F2384C" w:rsidP="00505C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2384C" w:rsidRPr="00505CAE" w:rsidRDefault="00F2384C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4C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комплексного развития систем коммунальной инфраструктуры 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2034 годы.</w:t>
      </w:r>
    </w:p>
    <w:p w:rsidR="00F2384C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C00E3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</w:t>
      </w:r>
      <w:r w:rsidR="00505CAE" w:rsidRPr="00505CA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решение в</w:t>
      </w:r>
      <w:r w:rsidR="00F2384C" w:rsidRPr="00505CAE">
        <w:rPr>
          <w:rFonts w:ascii="Times New Roman" w:eastAsia="Times New Roman" w:hAnsi="Times New Roman" w:cs="Times New Roman"/>
          <w:sz w:val="28"/>
          <w:szCs w:val="28"/>
        </w:rPr>
        <w:t xml:space="preserve"> газете «Афанасьевский вестник»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и разместить его на официальном сайте</w:t>
      </w:r>
      <w:r w:rsidR="00DC00E3" w:rsidRPr="00505C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Афанасьевского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DC00E3" w:rsidRPr="0050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CAE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DC00E3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DC00E3" w:rsidRPr="00505CAE" w:rsidRDefault="00DC00E3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0E3" w:rsidRDefault="00DC00E3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AE" w:rsidRPr="00505CAE" w:rsidRDefault="00505CAE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0E3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C00E3" w:rsidRPr="00505CAE">
        <w:rPr>
          <w:rFonts w:ascii="Times New Roman" w:eastAsia="Times New Roman" w:hAnsi="Times New Roman" w:cs="Times New Roman"/>
          <w:sz w:val="28"/>
          <w:szCs w:val="28"/>
        </w:rPr>
        <w:t>Афанасьевского</w:t>
      </w:r>
    </w:p>
    <w:p w:rsidR="006B113E" w:rsidRPr="00505CAE" w:rsidRDefault="00DF799F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C00E3" w:rsidRPr="00505C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В.Ю. Лобанов</w:t>
      </w:r>
    </w:p>
    <w:p w:rsidR="00505CAE" w:rsidRPr="00505CAE" w:rsidRDefault="00505CAE" w:rsidP="00505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AE" w:rsidRPr="00505CAE" w:rsidRDefault="00505CAE" w:rsidP="00505C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C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iCs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ем</w:t>
      </w:r>
      <w:r w:rsidRPr="00505C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Думы</w:t>
      </w: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iCs/>
          <w:color w:val="000000"/>
          <w:sz w:val="28"/>
          <w:szCs w:val="28"/>
        </w:rPr>
        <w:t>Афанасьевского сельского поселения</w:t>
      </w: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iCs/>
          <w:color w:val="000000"/>
          <w:sz w:val="28"/>
          <w:szCs w:val="28"/>
        </w:rPr>
        <w:t>от 23.05.2014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ода </w:t>
      </w:r>
      <w:r w:rsidRPr="00505CAE">
        <w:rPr>
          <w:rFonts w:ascii="Times New Roman" w:hAnsi="Times New Roman" w:cs="Times New Roman"/>
          <w:iCs/>
          <w:color w:val="000000"/>
          <w:sz w:val="28"/>
          <w:szCs w:val="28"/>
        </w:rPr>
        <w:t>№ 11-РД</w:t>
      </w: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AE" w:rsidRPr="00505CAE" w:rsidRDefault="00505CAE" w:rsidP="00505CA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комплексного развития</w:t>
      </w:r>
    </w:p>
    <w:p w:rsidR="00505CAE" w:rsidRDefault="00505CAE" w:rsidP="00505CA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 коммунальной инфраструктуры</w:t>
      </w:r>
    </w:p>
    <w:p w:rsidR="00505CAE" w:rsidRDefault="00505CAE" w:rsidP="00505CA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color w:val="000000"/>
          <w:sz w:val="28"/>
          <w:szCs w:val="28"/>
        </w:rPr>
        <w:t>Афанасьевского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505CAE" w:rsidRPr="00505CAE" w:rsidRDefault="00505CAE" w:rsidP="00505CA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2014-2034 годы</w:t>
      </w: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AE" w:rsidRPr="00505CAE" w:rsidRDefault="00505CAE" w:rsidP="00505CA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6662"/>
      </w:tblGrid>
      <w:tr w:rsidR="00505CAE" w:rsidRPr="00505CAE" w:rsidTr="00505CA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комплексного развития систем коммунал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инфраструктуры Афанасьевского муниципального образования на 2014-2034годы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Федеральный закон от 06.10.2003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№ 131-ФЗ "Об общих принципах организации местного самоуправл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Российской Федерации"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2.Федеральный закон от 30.12.2004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№ 210-ФЗ "Об основах регулирования тарифов организаций комм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нального комплекса"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3.Федеральный закон от 23.11.2007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№ 261-ФЗ «Об энергосбережении и о повышении энергетической э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фективности и о внесении изменений в отдельные з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конодательные акты Российской Федерации»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Афанасьевского сельского поселения 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Афанасьевского сельского поселения 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функционирования ко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мунальных систем жизнеобеспечения Афанасьевского сельского поселения: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управление процессом доступности и повышения к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чества жилищно-коммунальных услуг,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регулирование тарифов на товары и услуги организ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 коммунального комплекса;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максимально достоверного учёта п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требления топливно-энергетических ресурсов;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информационной открытости реализ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Программы.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и модернизация объектов энергетики; сокращение затрат на производство энергоресурсов;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-внедрение автоматизированных систем контроля и учёта тепловой и электрической энергии;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совершенствования системы сбора, удаления и ут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лизация (захоронение) отходов (свалки);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приведение коммунальной инфраструктуры в соо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ветствие со стандартами качества;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финансовых и инвестиционных ресу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 для обеспечения реконструкции и модернизации объектов коммунального хозяйства.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2014-2034 годы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и объёмы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 местного бюджета поселения, собственные средства предприятия.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Инвестиционная надбавка к тарифам.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Объёмы финансирования определяются при разрабо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 инвестиционных программ</w:t>
            </w: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позволит достичь: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качества коммунального обслуживания потребителей;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ликвидация критического уровня износа инженерных коммуникаций.</w:t>
            </w:r>
          </w:p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AE" w:rsidRPr="00505CAE" w:rsidTr="00505CA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AE" w:rsidRPr="00505CAE" w:rsidRDefault="00505CAE" w:rsidP="0050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исполнением Программы осуществляет  Дума Афанасьевского сельского поселения </w:t>
            </w:r>
          </w:p>
        </w:tc>
      </w:tr>
    </w:tbl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Программа комплексного развития систем коммунальной инфраструкт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2014-2034 годы (далее - Программа) направлена на обеспечение надёжного и устойчивого обслужив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ния потребителей коммунальных услуг, снижения сверхнормативного износа объектов коммунальной инфраструктуры, модернизацию этих объектов путём внедрения ресурсо-энергосберегающих технологий, разработку и внедрение мер по стимулированию эффективного и рационального хозяйствования орг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низаций коммунального комплекса, развитие жилищного строительства.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муниципального образования «Аф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насьевское» эксплуатируются объекты и сети инженерной инфраструктуры, я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ляющиеся собственностью МО «Тулунский район»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шесть водонапорных башен;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одна отопительная котельная установленной мощностью 2 Гкал/час, 2,46 МВт/ч, максимальная нагрузка – 0,53 Гкал/час. Годовой отпуск тепла с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ставляет 2018,31 тыс. Гкал. Основное топливо-уголь. Годовой расход топлива составляет 1584,4 тон. Котельная предназначена для выработки горячей воды. Протяженность тепловых сетей составляет 2138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м, водопроводных сетей 946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м. Продолжительность отопительного периода 247 суток. Тепловые сети прол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жены подземным способом.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Средний износ тепловых сетей составляет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%. Водопроводных сетей 49%.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обеспечения надежной работы коммунальных инженерных сетей 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обходимо реконструировать и капитально отремонтировать 1078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 тепловых сетей и водопроводных сетей.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Ежегодное вложение средств в реконструкцию теплоэнергетических об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ектов, замену тепловых сетей позволит снизить уровень износа основных фо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дов до величины, при которой количество аварий (по причинам технического состояния) минимально.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Необходимость ускоренного перехода к устойчивому развитию комм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нальной инфраструктуры определяет целесообразность использования пр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граммно-целевого метода для решения проблем организаций коммунального комплекса, что позволит обеспечить возможность улучшения жилищных усл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вий и качества жизни населения.</w:t>
      </w:r>
    </w:p>
    <w:p w:rsid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sz w:val="28"/>
          <w:szCs w:val="28"/>
        </w:rPr>
        <w:t>2.Основные цели и задачи Программы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Целями Программы являются повышение эффективности функционир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вания коммунальных систем жизнеобеспечения Афанасьевского сельского п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селения: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регулирование тарифов на товары и услуги организаций коммунального комплекса;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максимально </w:t>
      </w:r>
      <w:r w:rsidR="00036ECC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достоверного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учёта потребления топливно-энергетических ресурсов;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организация информационной открытости реализации Программы.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последовательно ре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лизовать следующие задачи: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реконструкция и модернизация объектов энергетики, в том числе реко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струкция и модернизация котельной, тепловых сетей с применением совреме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ного оборудования, материалов и технологий, отвечающих требованиям экон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мичности, надежности и эффективности;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сокращение затрат на производство энергоресурсов и стимулирование энергосбережения;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внедрение автоматизированных систем контроля и учета тепловой и электрической энергии;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-совершенствования системы сбора, удаления и утили</w:t>
      </w:r>
      <w:r w:rsidR="00036ECC">
        <w:rPr>
          <w:rFonts w:ascii="Times New Roman" w:hAnsi="Times New Roman" w:cs="Times New Roman"/>
          <w:color w:val="000000"/>
          <w:sz w:val="28"/>
          <w:szCs w:val="28"/>
        </w:rPr>
        <w:t xml:space="preserve">зация (захоронение) 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отходов (свалки);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приведения коммунальной инфраструктуры в с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ответствие со стандартами качества, обеспечивающими ком</w:t>
      </w:r>
      <w:r w:rsidR="00036ECC">
        <w:rPr>
          <w:rFonts w:ascii="Times New Roman" w:hAnsi="Times New Roman" w:cs="Times New Roman"/>
          <w:color w:val="000000"/>
          <w:sz w:val="28"/>
          <w:szCs w:val="28"/>
        </w:rPr>
        <w:t>фортные условия проживания;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036ECC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разработка внедрение в практику правовых, финансовых и организац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онных механизмов, осуществляющих комплексное развитие систем комм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нальной инфраструктуры.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Решаемые в рамках Программы задачи соответствуют приоритетным 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правлениям в области совершенствования градостроительных решений, ко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плексного решения жилищной программы и развития территорий жилищной застройки, обозначенных в Программе комплексного социально-экономического развития муниципального образования «Афанасьевское» до 2015 года.</w:t>
      </w:r>
    </w:p>
    <w:p w:rsidR="00505CAE" w:rsidRPr="00505CAE" w:rsidRDefault="00505CAE" w:rsidP="00505CAE">
      <w:pPr>
        <w:autoSpaceDE w:val="0"/>
        <w:autoSpaceDN w:val="0"/>
        <w:adjustRightInd w:val="0"/>
        <w:spacing w:after="0" w:line="240" w:lineRule="auto"/>
        <w:ind w:firstLine="3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color w:val="000000"/>
          <w:sz w:val="28"/>
          <w:szCs w:val="28"/>
        </w:rPr>
        <w:t>3.Механизм реализации Программы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Ответственным за реализацию Программы является администрация Аф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 xml:space="preserve">насьевского сельского поселения 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AE" w:rsidRPr="00505CAE" w:rsidRDefault="00505CAE" w:rsidP="00036ECC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sz w:val="28"/>
          <w:szCs w:val="28"/>
        </w:rPr>
        <w:t>4. Сроки реализации Программы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2014-2034 годах.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color w:val="000000"/>
          <w:sz w:val="28"/>
          <w:szCs w:val="28"/>
        </w:rPr>
        <w:t>5. Источники и объемы финансирования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финансирования Программы являются: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а) инвестиционная надбавка к тарифам за тепловую энергию;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б) средства областного бюджета;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в) средства бюджета поселения;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Расчёт объёмов финансирования, необходимых для реализации Програ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мы, производится организацией коммунального комплекса при разработке и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5CAE">
        <w:rPr>
          <w:rFonts w:ascii="Times New Roman" w:hAnsi="Times New Roman" w:cs="Times New Roman"/>
          <w:color w:val="000000"/>
          <w:sz w:val="28"/>
          <w:szCs w:val="28"/>
        </w:rPr>
        <w:t>вестиционных программ.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В финансовые потребности организаций коммунального комплекса включается весь комплекс расходов, связанных с проведением мероприятий инвестиционной программы: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проектно-изыскательские работы;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приобретение материалов и оборудования;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строительно-монтажные работы;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пуско-наладочные работы;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- проведение регистрации объектов.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505CAE" w:rsidRPr="00505CAE" w:rsidRDefault="00505CAE" w:rsidP="00036EC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ECC" w:rsidRDefault="00505CAE" w:rsidP="00036ECC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Мероприятия по реализации Программы комплексного</w:t>
      </w:r>
      <w:r w:rsidR="00036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036ECC" w:rsidRDefault="00505CAE" w:rsidP="00036ECC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 коммунальной инфраструктуры Афанасьевского</w:t>
      </w:r>
    </w:p>
    <w:p w:rsidR="00505CAE" w:rsidRPr="00505CAE" w:rsidRDefault="00505CAE" w:rsidP="00036ECC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на 2014-2034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15"/>
        <w:gridCol w:w="2731"/>
        <w:gridCol w:w="62"/>
        <w:gridCol w:w="1996"/>
        <w:gridCol w:w="290"/>
        <w:gridCol w:w="1566"/>
      </w:tblGrid>
      <w:tr w:rsidR="00505CAE" w:rsidRPr="00505CAE" w:rsidTr="00036ECC"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58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Примечания </w:t>
            </w:r>
          </w:p>
        </w:tc>
        <w:tc>
          <w:tcPr>
            <w:tcW w:w="1856" w:type="dxa"/>
            <w:gridSpan w:val="2"/>
          </w:tcPr>
          <w:p w:rsidR="00036ECC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036ECC" w:rsidRDefault="00036ECC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05CAE"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</w:t>
            </w:r>
          </w:p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</w:tr>
      <w:tr w:rsidR="00505CAE" w:rsidRPr="00505CAE" w:rsidTr="00036ECC"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8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05CAE" w:rsidRPr="00505CAE" w:rsidTr="00036ECC">
        <w:tc>
          <w:tcPr>
            <w:tcW w:w="9854" w:type="dxa"/>
            <w:gridSpan w:val="7"/>
          </w:tcPr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водоснабжения</w:t>
            </w:r>
          </w:p>
        </w:tc>
      </w:tr>
      <w:tr w:rsidR="00505CAE" w:rsidRPr="00505CAE" w:rsidTr="00036ECC"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Бесперебойное обеспечение нас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ления сельского поселения питьевой водой</w:t>
            </w: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Ремонт водонапо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ной башни в д. Аф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насьева,</w:t>
            </w:r>
          </w:p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ул.Складская-1»А»</w:t>
            </w:r>
          </w:p>
        </w:tc>
        <w:tc>
          <w:tcPr>
            <w:tcW w:w="2348" w:type="dxa"/>
            <w:gridSpan w:val="3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Замена металл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ческой емкости 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объемом 7 куб. м.</w:t>
            </w: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2015</w:t>
            </w:r>
            <w:r w:rsidR="00036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505CAE" w:rsidRPr="00505CAE" w:rsidTr="00036ECC"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Бурение новой скважины водон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порной башни в д.Афанасьева,</w:t>
            </w:r>
          </w:p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ул.Гайдара-8</w:t>
            </w:r>
          </w:p>
        </w:tc>
        <w:tc>
          <w:tcPr>
            <w:tcW w:w="2348" w:type="dxa"/>
            <w:gridSpan w:val="3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2016-2017гг</w:t>
            </w:r>
          </w:p>
        </w:tc>
      </w:tr>
      <w:tr w:rsidR="00505CAE" w:rsidRPr="00505CAE" w:rsidTr="00036ECC">
        <w:trPr>
          <w:trHeight w:val="1927"/>
        </w:trPr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водонапо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ных башен с. Ник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таево </w:t>
            </w:r>
          </w:p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ул.Кировская,12»А», ул. Порогская,17»А»</w:t>
            </w:r>
          </w:p>
        </w:tc>
        <w:tc>
          <w:tcPr>
            <w:tcW w:w="2348" w:type="dxa"/>
            <w:gridSpan w:val="3"/>
          </w:tcPr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Смена нижних венцов водон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порных башен; замена двух м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тал</w:t>
            </w:r>
            <w:r w:rsidR="00036EC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ических 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костей объемом 5 куб. м.</w:t>
            </w: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2015-2017гг.</w:t>
            </w:r>
          </w:p>
        </w:tc>
      </w:tr>
      <w:tr w:rsidR="00505CAE" w:rsidRPr="00505CAE" w:rsidTr="00036ECC">
        <w:trPr>
          <w:trHeight w:val="1599"/>
        </w:trPr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металлич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ской емкости вод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напорной башни п. Ермаки.</w:t>
            </w:r>
          </w:p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Ул.Новостроек-2»А»</w:t>
            </w:r>
          </w:p>
        </w:tc>
        <w:tc>
          <w:tcPr>
            <w:tcW w:w="2348" w:type="dxa"/>
            <w:gridSpan w:val="3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вну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ренней повер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ности металлич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ской емкости</w:t>
            </w: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</w:tr>
      <w:tr w:rsidR="00505CAE" w:rsidRPr="00505CAE" w:rsidTr="00036ECC">
        <w:trPr>
          <w:trHeight w:val="131"/>
        </w:trPr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1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металлич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ской емкости вод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напорной башни п. Ермаки.</w:t>
            </w:r>
          </w:p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ул.Трактовая-32</w:t>
            </w:r>
          </w:p>
        </w:tc>
        <w:tc>
          <w:tcPr>
            <w:tcW w:w="2348" w:type="dxa"/>
            <w:gridSpan w:val="3"/>
          </w:tcPr>
          <w:p w:rsidR="00505CAE" w:rsidRPr="00505CAE" w:rsidRDefault="00505CAE" w:rsidP="00036EC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металл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емкости объемом 7 куб. м.</w:t>
            </w: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2016г</w:t>
            </w:r>
          </w:p>
        </w:tc>
      </w:tr>
      <w:tr w:rsidR="00505CAE" w:rsidRPr="00505CAE" w:rsidTr="00036ECC">
        <w:tc>
          <w:tcPr>
            <w:tcW w:w="9854" w:type="dxa"/>
            <w:gridSpan w:val="7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области теплоснабжения</w:t>
            </w:r>
          </w:p>
        </w:tc>
      </w:tr>
      <w:tr w:rsidR="00505CAE" w:rsidRPr="00505CAE" w:rsidTr="00036ECC">
        <w:trPr>
          <w:trHeight w:val="274"/>
        </w:trPr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тепловых сетей, повышение надежности и кач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ства теплоснабж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793" w:type="dxa"/>
            <w:gridSpan w:val="2"/>
          </w:tcPr>
          <w:p w:rsidR="00505CAE" w:rsidRPr="00505CAE" w:rsidRDefault="00505CAE" w:rsidP="00505CAE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 Замене участков тепловых сетей и в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довода от ТК1 до в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донапорной башни,  </w:t>
            </w:r>
            <w:r w:rsidRPr="0050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=100 мм, от ТК2 до здания клуба </w:t>
            </w:r>
            <w:r w:rsidRPr="0050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=100 мм, и от ТК4 до зд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ния администрации только тепловые с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50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=100 мм, от ТК 8 до  здания школы и спального корпуса, </w:t>
            </w:r>
            <w:r w:rsidRPr="0050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=100 мм, от ТК10 до водонапорной башни по ул.Гайдара </w:t>
            </w:r>
            <w:r w:rsidRPr="0050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t xml:space="preserve">=100 мм , от ТК 10 до водонапорной башни по </w:t>
            </w:r>
            <w:r w:rsidRPr="0050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ул.Гайдара.</w:t>
            </w:r>
          </w:p>
        </w:tc>
        <w:tc>
          <w:tcPr>
            <w:tcW w:w="2286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Замена изн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шенных тепл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вых и водопр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водных сетей  </w:t>
            </w:r>
          </w:p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372п.м.</w:t>
            </w: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</w:tr>
      <w:tr w:rsidR="00505CAE" w:rsidRPr="00505CAE" w:rsidTr="00036ECC">
        <w:trPr>
          <w:trHeight w:val="1575"/>
        </w:trPr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 автом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тизированных си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тем контроля и учета тепловой и электр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энергии</w:t>
            </w:r>
          </w:p>
        </w:tc>
        <w:tc>
          <w:tcPr>
            <w:tcW w:w="2286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те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лосчетчика в здание админ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</w:t>
            </w: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2015-2017гг</w:t>
            </w:r>
          </w:p>
        </w:tc>
      </w:tr>
      <w:tr w:rsidR="00505CAE" w:rsidRPr="00505CAE" w:rsidTr="00036ECC">
        <w:trPr>
          <w:trHeight w:val="1575"/>
        </w:trPr>
        <w:tc>
          <w:tcPr>
            <w:tcW w:w="594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Подключение здания конторы ЗАО «М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нолит» к централ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зованной системе отопления</w:t>
            </w:r>
          </w:p>
        </w:tc>
        <w:tc>
          <w:tcPr>
            <w:tcW w:w="2286" w:type="dxa"/>
            <w:gridSpan w:val="2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6" w:type="dxa"/>
          </w:tcPr>
          <w:p w:rsidR="00505CAE" w:rsidRPr="00505CAE" w:rsidRDefault="00505CAE" w:rsidP="00505CA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AE">
              <w:rPr>
                <w:rFonts w:ascii="Times New Roman" w:hAnsi="Times New Roman" w:cs="Times New Roman"/>
                <w:bCs/>
                <w:sz w:val="28"/>
                <w:szCs w:val="28"/>
              </w:rPr>
              <w:t>2015-2018гг</w:t>
            </w:r>
          </w:p>
        </w:tc>
      </w:tr>
    </w:tbl>
    <w:p w:rsidR="00036ECC" w:rsidRDefault="00036ECC" w:rsidP="0050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/>
          <w:color w:val="000000"/>
          <w:sz w:val="28"/>
          <w:szCs w:val="28"/>
        </w:rPr>
        <w:t>7. Оценка эффективности реализации Программы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 комплексного развития </w:t>
      </w: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системы коммунальной инфраструктуры Афанасьевского муниципального образования предполагается: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- увеличение объемов реконструкции объектов коммунального хозяйства;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- уменьшение уровня износа основных средств;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-снижение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Афанасьевского муниципального образования;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-привлечение в коммунальную сферу дополнительных финансовых средств из внебюджетных источников;</w:t>
      </w:r>
    </w:p>
    <w:p w:rsidR="00505CAE" w:rsidRPr="00505CAE" w:rsidRDefault="00505CAE" w:rsidP="0003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-развитие и закрепление положительных тенденций модернизации ко</w:t>
      </w: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505CAE">
        <w:rPr>
          <w:rFonts w:ascii="Times New Roman" w:hAnsi="Times New Roman" w:cs="Times New Roman"/>
          <w:bCs/>
          <w:color w:val="000000"/>
          <w:sz w:val="28"/>
          <w:szCs w:val="28"/>
        </w:rPr>
        <w:t>мунальной инфраструктуры в поселении.</w:t>
      </w:r>
    </w:p>
    <w:sectPr w:rsidR="00505CAE" w:rsidRPr="00505CAE" w:rsidSect="00505C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AA"/>
    <w:multiLevelType w:val="multilevel"/>
    <w:tmpl w:val="BA6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36C6"/>
    <w:multiLevelType w:val="multilevel"/>
    <w:tmpl w:val="235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4A49"/>
    <w:multiLevelType w:val="multilevel"/>
    <w:tmpl w:val="1B84F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B6ECF"/>
    <w:multiLevelType w:val="multilevel"/>
    <w:tmpl w:val="71122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228B"/>
    <w:multiLevelType w:val="multilevel"/>
    <w:tmpl w:val="DC066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948AB"/>
    <w:multiLevelType w:val="multilevel"/>
    <w:tmpl w:val="0FC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E1394"/>
    <w:multiLevelType w:val="multilevel"/>
    <w:tmpl w:val="A2A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02C07"/>
    <w:multiLevelType w:val="multilevel"/>
    <w:tmpl w:val="645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D0EB3"/>
    <w:multiLevelType w:val="multilevel"/>
    <w:tmpl w:val="14D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64576"/>
    <w:multiLevelType w:val="multilevel"/>
    <w:tmpl w:val="FA706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F799F"/>
    <w:rsid w:val="00036ECC"/>
    <w:rsid w:val="003F36AA"/>
    <w:rsid w:val="0049721C"/>
    <w:rsid w:val="00505CAE"/>
    <w:rsid w:val="006B113E"/>
    <w:rsid w:val="00874944"/>
    <w:rsid w:val="00CC222B"/>
    <w:rsid w:val="00D82566"/>
    <w:rsid w:val="00DB5A22"/>
    <w:rsid w:val="00DC00E3"/>
    <w:rsid w:val="00DE1BA5"/>
    <w:rsid w:val="00DE3336"/>
    <w:rsid w:val="00DF799F"/>
    <w:rsid w:val="00F2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66"/>
  </w:style>
  <w:style w:type="paragraph" w:styleId="1">
    <w:name w:val="heading 1"/>
    <w:basedOn w:val="a"/>
    <w:next w:val="a"/>
    <w:link w:val="10"/>
    <w:qFormat/>
    <w:rsid w:val="00F2384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nhideWhenUsed/>
    <w:qFormat/>
    <w:rsid w:val="00F2384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F799F"/>
  </w:style>
  <w:style w:type="character" w:customStyle="1" w:styleId="submenu-table">
    <w:name w:val="submenu-table"/>
    <w:basedOn w:val="a0"/>
    <w:rsid w:val="00DF799F"/>
  </w:style>
  <w:style w:type="character" w:customStyle="1" w:styleId="10">
    <w:name w:val="Заголовок 1 Знак"/>
    <w:basedOn w:val="a0"/>
    <w:link w:val="1"/>
    <w:rsid w:val="00F2384C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F2384C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15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207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50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2014-07-03T00:29:00Z</cp:lastPrinted>
  <dcterms:created xsi:type="dcterms:W3CDTF">2014-06-16T07:27:00Z</dcterms:created>
  <dcterms:modified xsi:type="dcterms:W3CDTF">2014-07-07T00:31:00Z</dcterms:modified>
</cp:coreProperties>
</file>