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AE31A4" w:rsidP="00477A6B">
            <w:pPr>
              <w:pStyle w:val="a4"/>
              <w:jc w:val="center"/>
              <w:rPr>
                <w:rFonts w:ascii="Times New Roman" w:hAnsi="Times New Roman"/>
                <w:sz w:val="32"/>
                <w:szCs w:val="32"/>
              </w:rPr>
            </w:pPr>
            <w:r>
              <w:rPr>
                <w:rFonts w:ascii="Times New Roman" w:hAnsi="Times New Roman"/>
                <w:sz w:val="32"/>
                <w:szCs w:val="32"/>
              </w:rPr>
              <w:t>18</w:t>
            </w:r>
            <w:r w:rsidR="002D78F9">
              <w:rPr>
                <w:rFonts w:ascii="Times New Roman" w:hAnsi="Times New Roman"/>
                <w:sz w:val="32"/>
                <w:szCs w:val="32"/>
              </w:rPr>
              <w:t>.</w:t>
            </w:r>
            <w:r>
              <w:rPr>
                <w:rFonts w:ascii="Times New Roman" w:hAnsi="Times New Roman"/>
                <w:sz w:val="32"/>
                <w:szCs w:val="32"/>
              </w:rPr>
              <w:t>10</w:t>
            </w:r>
            <w:bookmarkStart w:id="0" w:name="_GoBack"/>
            <w:bookmarkEnd w:id="0"/>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404E5">
              <w:rPr>
                <w:rFonts w:ascii="Times New Roman" w:hAnsi="Times New Roman"/>
                <w:sz w:val="32"/>
                <w:szCs w:val="32"/>
              </w:rPr>
              <w:t>1</w:t>
            </w:r>
            <w:r>
              <w:rPr>
                <w:rFonts w:ascii="Times New Roman" w:hAnsi="Times New Roman"/>
                <w:sz w:val="32"/>
                <w:szCs w:val="32"/>
              </w:rPr>
              <w:t>5</w:t>
            </w:r>
            <w:r w:rsidR="00B77775" w:rsidRPr="00C50C5F">
              <w:rPr>
                <w:rFonts w:ascii="Times New Roman" w:hAnsi="Times New Roman"/>
                <w:sz w:val="32"/>
                <w:szCs w:val="32"/>
              </w:rPr>
              <w:t xml:space="preserve"> (</w:t>
            </w:r>
            <w:r w:rsidR="00703847">
              <w:rPr>
                <w:rFonts w:ascii="Times New Roman" w:hAnsi="Times New Roman"/>
                <w:sz w:val="32"/>
                <w:szCs w:val="32"/>
              </w:rPr>
              <w:t>2</w:t>
            </w:r>
            <w:r>
              <w:rPr>
                <w:rFonts w:ascii="Times New Roman" w:hAnsi="Times New Roman"/>
                <w:sz w:val="32"/>
                <w:szCs w:val="32"/>
              </w:rPr>
              <w:t>51</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9485" w:type="dxa"/>
        <w:tblLook w:val="01E0" w:firstRow="1" w:lastRow="1" w:firstColumn="1" w:lastColumn="1" w:noHBand="0" w:noVBand="0"/>
      </w:tblPr>
      <w:tblGrid>
        <w:gridCol w:w="7128"/>
        <w:gridCol w:w="2357"/>
      </w:tblGrid>
      <w:tr w:rsidR="00AE31A4" w:rsidRPr="00AE31A4" w:rsidTr="00AE31A4">
        <w:tc>
          <w:tcPr>
            <w:tcW w:w="9485" w:type="dxa"/>
            <w:gridSpan w:val="2"/>
            <w:hideMark/>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lastRenderedPageBreak/>
              <w:t>ИРКУТСКАЯ  ОБЛАСТЬ</w:t>
            </w:r>
          </w:p>
        </w:tc>
      </w:tr>
      <w:tr w:rsidR="00AE31A4" w:rsidRPr="00AE31A4" w:rsidTr="00AE31A4">
        <w:tc>
          <w:tcPr>
            <w:tcW w:w="9485" w:type="dxa"/>
            <w:gridSpan w:val="2"/>
            <w:hideMark/>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t>Муниципальное образование</w:t>
            </w:r>
          </w:p>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t>«Тулунский район»</w:t>
            </w:r>
          </w:p>
        </w:tc>
      </w:tr>
      <w:tr w:rsidR="00AE31A4" w:rsidRPr="00AE31A4" w:rsidTr="00AE31A4">
        <w:tc>
          <w:tcPr>
            <w:tcW w:w="9485" w:type="dxa"/>
            <w:gridSpan w:val="2"/>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spacing w:val="20"/>
                <w:sz w:val="28"/>
                <w:szCs w:val="20"/>
                <w:lang w:eastAsia="en-US"/>
              </w:rPr>
            </w:pPr>
          </w:p>
        </w:tc>
      </w:tr>
      <w:tr w:rsidR="00AE31A4" w:rsidRPr="00AE31A4" w:rsidTr="00AE31A4">
        <w:tc>
          <w:tcPr>
            <w:tcW w:w="9485" w:type="dxa"/>
            <w:gridSpan w:val="2"/>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t>Д У М А</w:t>
            </w:r>
          </w:p>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t>Афанасьевского сельского поселения</w:t>
            </w:r>
          </w:p>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p>
        </w:tc>
      </w:tr>
      <w:tr w:rsidR="00AE31A4" w:rsidRPr="00AE31A4" w:rsidTr="00AE31A4">
        <w:tc>
          <w:tcPr>
            <w:tcW w:w="9485" w:type="dxa"/>
            <w:gridSpan w:val="2"/>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p>
        </w:tc>
      </w:tr>
      <w:tr w:rsidR="00AE31A4" w:rsidRPr="00AE31A4" w:rsidTr="00AE31A4">
        <w:tc>
          <w:tcPr>
            <w:tcW w:w="9485" w:type="dxa"/>
            <w:gridSpan w:val="2"/>
            <w:hideMark/>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t>РЕШЕНИЕ</w:t>
            </w:r>
          </w:p>
        </w:tc>
      </w:tr>
      <w:tr w:rsidR="00AE31A4" w:rsidRPr="00AE31A4" w:rsidTr="00AE31A4">
        <w:tc>
          <w:tcPr>
            <w:tcW w:w="9485" w:type="dxa"/>
            <w:gridSpan w:val="2"/>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spacing w:val="20"/>
                <w:sz w:val="28"/>
                <w:szCs w:val="20"/>
                <w:lang w:eastAsia="en-US"/>
              </w:rPr>
            </w:pPr>
          </w:p>
        </w:tc>
      </w:tr>
      <w:tr w:rsidR="00AE31A4" w:rsidRPr="00AE31A4" w:rsidTr="00AE31A4">
        <w:tc>
          <w:tcPr>
            <w:tcW w:w="9485" w:type="dxa"/>
            <w:gridSpan w:val="2"/>
          </w:tcPr>
          <w:p w:rsidR="00AE31A4" w:rsidRPr="00AE31A4" w:rsidRDefault="00AE31A4" w:rsidP="00AE31A4">
            <w:pPr>
              <w:tabs>
                <w:tab w:val="left" w:pos="5264"/>
              </w:tabs>
              <w:overflowPunct w:val="0"/>
              <w:autoSpaceDE w:val="0"/>
              <w:autoSpaceDN w:val="0"/>
              <w:adjustRightInd w:val="0"/>
              <w:spacing w:line="276" w:lineRule="auto"/>
              <w:ind w:right="-271" w:firstLine="0"/>
              <w:jc w:val="left"/>
              <w:rPr>
                <w:b/>
                <w:spacing w:val="20"/>
                <w:sz w:val="28"/>
                <w:szCs w:val="20"/>
                <w:lang w:eastAsia="en-US"/>
              </w:rPr>
            </w:pPr>
            <w:r w:rsidRPr="00AE31A4">
              <w:rPr>
                <w:b/>
                <w:spacing w:val="20"/>
                <w:sz w:val="28"/>
                <w:szCs w:val="20"/>
                <w:lang w:eastAsia="en-US"/>
              </w:rPr>
              <w:t>«17» октября 2019 г</w:t>
            </w:r>
            <w:r w:rsidRPr="00AE31A4">
              <w:rPr>
                <w:spacing w:val="20"/>
                <w:sz w:val="28"/>
                <w:szCs w:val="20"/>
                <w:lang w:eastAsia="en-US"/>
              </w:rPr>
              <w:t xml:space="preserve">.                                               </w:t>
            </w:r>
            <w:r w:rsidRPr="00AE31A4">
              <w:rPr>
                <w:b/>
                <w:spacing w:val="20"/>
                <w:sz w:val="28"/>
                <w:szCs w:val="20"/>
                <w:lang w:eastAsia="en-US"/>
              </w:rPr>
              <w:t>№ 16-РД</w:t>
            </w:r>
          </w:p>
          <w:p w:rsidR="00AE31A4" w:rsidRPr="00AE31A4" w:rsidRDefault="00AE31A4" w:rsidP="00AE31A4">
            <w:pPr>
              <w:tabs>
                <w:tab w:val="left" w:pos="5264"/>
              </w:tabs>
              <w:overflowPunct w:val="0"/>
              <w:autoSpaceDE w:val="0"/>
              <w:autoSpaceDN w:val="0"/>
              <w:adjustRightInd w:val="0"/>
              <w:spacing w:line="276" w:lineRule="auto"/>
              <w:ind w:right="-271" w:firstLine="0"/>
              <w:jc w:val="center"/>
              <w:rPr>
                <w:spacing w:val="20"/>
                <w:sz w:val="28"/>
                <w:szCs w:val="20"/>
                <w:lang w:eastAsia="en-US"/>
              </w:rPr>
            </w:pPr>
          </w:p>
        </w:tc>
      </w:tr>
      <w:tr w:rsidR="00AE31A4" w:rsidRPr="00AE31A4" w:rsidTr="00AE31A4">
        <w:tc>
          <w:tcPr>
            <w:tcW w:w="9485" w:type="dxa"/>
            <w:gridSpan w:val="2"/>
            <w:hideMark/>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r w:rsidRPr="00AE31A4">
              <w:rPr>
                <w:b/>
                <w:spacing w:val="20"/>
                <w:sz w:val="28"/>
                <w:szCs w:val="20"/>
                <w:lang w:eastAsia="en-US"/>
              </w:rPr>
              <w:t>д. Афанасьева</w:t>
            </w:r>
          </w:p>
        </w:tc>
      </w:tr>
      <w:tr w:rsidR="00AE31A4" w:rsidRPr="00AE31A4" w:rsidTr="00AE31A4">
        <w:tc>
          <w:tcPr>
            <w:tcW w:w="9485" w:type="dxa"/>
            <w:gridSpan w:val="2"/>
          </w:tcPr>
          <w:p w:rsidR="00AE31A4" w:rsidRPr="00AE31A4" w:rsidRDefault="00AE31A4" w:rsidP="00AE31A4">
            <w:pPr>
              <w:tabs>
                <w:tab w:val="left" w:pos="5264"/>
              </w:tabs>
              <w:overflowPunct w:val="0"/>
              <w:autoSpaceDE w:val="0"/>
              <w:autoSpaceDN w:val="0"/>
              <w:adjustRightInd w:val="0"/>
              <w:spacing w:line="276" w:lineRule="auto"/>
              <w:ind w:right="-271" w:firstLine="0"/>
              <w:jc w:val="center"/>
              <w:rPr>
                <w:b/>
                <w:spacing w:val="20"/>
                <w:sz w:val="28"/>
                <w:szCs w:val="20"/>
                <w:lang w:eastAsia="en-US"/>
              </w:rPr>
            </w:pPr>
          </w:p>
        </w:tc>
      </w:tr>
      <w:tr w:rsidR="00AE31A4" w:rsidRPr="00AE31A4" w:rsidTr="00AE31A4">
        <w:trPr>
          <w:gridAfter w:val="1"/>
          <w:wAfter w:w="2357" w:type="dxa"/>
        </w:trPr>
        <w:tc>
          <w:tcPr>
            <w:tcW w:w="7128" w:type="dxa"/>
            <w:hideMark/>
          </w:tcPr>
          <w:p w:rsidR="00AE31A4" w:rsidRPr="00AE31A4" w:rsidRDefault="00AE31A4" w:rsidP="00AE31A4">
            <w:pPr>
              <w:tabs>
                <w:tab w:val="left" w:pos="5264"/>
              </w:tabs>
              <w:autoSpaceDE w:val="0"/>
              <w:autoSpaceDN w:val="0"/>
              <w:adjustRightInd w:val="0"/>
              <w:spacing w:line="276" w:lineRule="auto"/>
              <w:ind w:firstLine="0"/>
              <w:rPr>
                <w:b/>
                <w:i/>
                <w:sz w:val="28"/>
                <w:szCs w:val="28"/>
                <w:lang w:eastAsia="en-US"/>
              </w:rPr>
            </w:pPr>
            <w:r w:rsidRPr="00AE31A4">
              <w:rPr>
                <w:b/>
                <w:i/>
                <w:sz w:val="28"/>
                <w:szCs w:val="28"/>
                <w:lang w:eastAsia="en-US"/>
              </w:rPr>
              <w:t xml:space="preserve">Об утверждении структуры </w:t>
            </w:r>
          </w:p>
          <w:p w:rsidR="00AE31A4" w:rsidRPr="00AE31A4" w:rsidRDefault="00AE31A4" w:rsidP="00AE31A4">
            <w:pPr>
              <w:tabs>
                <w:tab w:val="left" w:pos="5264"/>
              </w:tabs>
              <w:autoSpaceDE w:val="0"/>
              <w:autoSpaceDN w:val="0"/>
              <w:adjustRightInd w:val="0"/>
              <w:spacing w:line="276" w:lineRule="auto"/>
              <w:ind w:firstLine="0"/>
              <w:rPr>
                <w:b/>
                <w:i/>
                <w:sz w:val="28"/>
                <w:szCs w:val="28"/>
                <w:lang w:eastAsia="en-US"/>
              </w:rPr>
            </w:pPr>
            <w:r w:rsidRPr="00AE31A4">
              <w:rPr>
                <w:b/>
                <w:i/>
                <w:sz w:val="28"/>
                <w:szCs w:val="28"/>
                <w:lang w:eastAsia="en-US"/>
              </w:rPr>
              <w:t xml:space="preserve">администрации Афанасьевского </w:t>
            </w:r>
          </w:p>
          <w:p w:rsidR="00AE31A4" w:rsidRPr="00AE31A4" w:rsidRDefault="00AE31A4" w:rsidP="00AE31A4">
            <w:pPr>
              <w:tabs>
                <w:tab w:val="left" w:pos="5264"/>
              </w:tabs>
              <w:autoSpaceDE w:val="0"/>
              <w:autoSpaceDN w:val="0"/>
              <w:adjustRightInd w:val="0"/>
              <w:spacing w:line="276" w:lineRule="auto"/>
              <w:ind w:firstLine="0"/>
              <w:rPr>
                <w:b/>
                <w:bCs/>
                <w:i/>
                <w:iCs/>
                <w:sz w:val="28"/>
                <w:szCs w:val="28"/>
                <w:lang w:eastAsia="en-US"/>
              </w:rPr>
            </w:pPr>
            <w:r w:rsidRPr="00AE31A4">
              <w:rPr>
                <w:b/>
                <w:i/>
                <w:sz w:val="28"/>
                <w:szCs w:val="28"/>
                <w:lang w:eastAsia="en-US"/>
              </w:rPr>
              <w:t>сельского поселения</w:t>
            </w:r>
          </w:p>
        </w:tc>
      </w:tr>
    </w:tbl>
    <w:p w:rsidR="00AE31A4" w:rsidRPr="00AE31A4" w:rsidRDefault="00AE31A4" w:rsidP="00AE31A4">
      <w:pPr>
        <w:tabs>
          <w:tab w:val="left" w:pos="5264"/>
        </w:tabs>
        <w:spacing w:before="100" w:beforeAutospacing="1" w:after="100" w:afterAutospacing="1"/>
        <w:ind w:firstLine="540"/>
        <w:rPr>
          <w:color w:val="000000"/>
          <w:sz w:val="28"/>
          <w:szCs w:val="28"/>
        </w:rPr>
      </w:pPr>
      <w:r w:rsidRPr="00AE31A4">
        <w:rPr>
          <w:color w:val="000000"/>
          <w:sz w:val="28"/>
          <w:szCs w:val="28"/>
        </w:rPr>
        <w:t>В соответствии с частью 8 статьи 37 Федерального закона от 06.10.2003 года № 131-ФЗ «Об общих принципах организации местного самоуправления в Российской Федерации», руководствуясь Уставом Афанасьевского муниципального образования, Дума Афанасьевского сельского поселения</w:t>
      </w:r>
    </w:p>
    <w:p w:rsidR="00AE31A4" w:rsidRPr="00AE31A4" w:rsidRDefault="00AE31A4" w:rsidP="00AE31A4">
      <w:pPr>
        <w:tabs>
          <w:tab w:val="left" w:pos="5264"/>
        </w:tabs>
        <w:spacing w:before="100" w:beforeAutospacing="1" w:after="100" w:afterAutospacing="1"/>
        <w:ind w:firstLine="540"/>
        <w:jc w:val="center"/>
        <w:outlineLvl w:val="0"/>
        <w:rPr>
          <w:b/>
          <w:color w:val="000000"/>
          <w:sz w:val="28"/>
          <w:szCs w:val="28"/>
        </w:rPr>
      </w:pPr>
      <w:proofErr w:type="gramStart"/>
      <w:r w:rsidRPr="00AE31A4">
        <w:rPr>
          <w:b/>
          <w:color w:val="000000"/>
          <w:sz w:val="28"/>
          <w:szCs w:val="28"/>
        </w:rPr>
        <w:t>Р</w:t>
      </w:r>
      <w:proofErr w:type="gramEnd"/>
      <w:r w:rsidRPr="00AE31A4">
        <w:rPr>
          <w:b/>
          <w:color w:val="000000"/>
          <w:sz w:val="28"/>
          <w:szCs w:val="28"/>
        </w:rPr>
        <w:t xml:space="preserve"> Е Ш И Л А:</w:t>
      </w:r>
    </w:p>
    <w:p w:rsidR="00AE31A4" w:rsidRPr="00AE31A4" w:rsidRDefault="00AE31A4" w:rsidP="00AE31A4">
      <w:pPr>
        <w:tabs>
          <w:tab w:val="left" w:pos="5264"/>
        </w:tabs>
        <w:ind w:firstLine="540"/>
        <w:rPr>
          <w:sz w:val="28"/>
          <w:szCs w:val="28"/>
        </w:rPr>
      </w:pPr>
      <w:r w:rsidRPr="00AE31A4">
        <w:rPr>
          <w:color w:val="000000"/>
          <w:sz w:val="28"/>
          <w:szCs w:val="28"/>
        </w:rPr>
        <w:t xml:space="preserve">1. </w:t>
      </w:r>
      <w:r w:rsidRPr="00AE31A4">
        <w:rPr>
          <w:sz w:val="28"/>
          <w:szCs w:val="28"/>
        </w:rPr>
        <w:t>Утвердить структуру администрации Афанасьевского сельского поселения (прилагается).</w:t>
      </w:r>
    </w:p>
    <w:p w:rsidR="00AE31A4" w:rsidRPr="00AE31A4" w:rsidRDefault="00AE31A4" w:rsidP="00AE31A4">
      <w:pPr>
        <w:tabs>
          <w:tab w:val="left" w:pos="5264"/>
        </w:tabs>
        <w:ind w:firstLine="540"/>
        <w:rPr>
          <w:sz w:val="28"/>
          <w:szCs w:val="28"/>
        </w:rPr>
      </w:pPr>
      <w:r w:rsidRPr="00AE31A4">
        <w:rPr>
          <w:sz w:val="28"/>
          <w:szCs w:val="28"/>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AE31A4" w:rsidRPr="00AE31A4" w:rsidRDefault="00AE31A4" w:rsidP="00AE31A4">
      <w:pPr>
        <w:tabs>
          <w:tab w:val="left" w:pos="5264"/>
        </w:tabs>
        <w:ind w:firstLine="0"/>
        <w:rPr>
          <w:spacing w:val="-2"/>
          <w:sz w:val="28"/>
          <w:szCs w:val="28"/>
        </w:rPr>
      </w:pPr>
    </w:p>
    <w:p w:rsidR="00AE31A4" w:rsidRPr="00AE31A4" w:rsidRDefault="00AE31A4" w:rsidP="00AE31A4">
      <w:pPr>
        <w:tabs>
          <w:tab w:val="left" w:pos="5264"/>
        </w:tabs>
        <w:ind w:firstLine="0"/>
        <w:rPr>
          <w:spacing w:val="-2"/>
          <w:sz w:val="28"/>
          <w:szCs w:val="28"/>
        </w:rPr>
      </w:pPr>
    </w:p>
    <w:p w:rsidR="00AE31A4" w:rsidRPr="00AE31A4" w:rsidRDefault="00AE31A4" w:rsidP="00AE31A4">
      <w:pPr>
        <w:tabs>
          <w:tab w:val="left" w:pos="5264"/>
        </w:tabs>
        <w:ind w:firstLine="0"/>
        <w:rPr>
          <w:spacing w:val="-2"/>
          <w:sz w:val="28"/>
          <w:szCs w:val="28"/>
        </w:rPr>
      </w:pPr>
    </w:p>
    <w:p w:rsidR="00AE31A4" w:rsidRPr="00AE31A4" w:rsidRDefault="00AE31A4" w:rsidP="00AE31A4">
      <w:pPr>
        <w:tabs>
          <w:tab w:val="left" w:pos="5264"/>
        </w:tabs>
        <w:ind w:firstLine="0"/>
        <w:rPr>
          <w:spacing w:val="-2"/>
          <w:sz w:val="28"/>
          <w:szCs w:val="28"/>
        </w:rPr>
      </w:pPr>
    </w:p>
    <w:p w:rsidR="00AE31A4" w:rsidRPr="00AE31A4" w:rsidRDefault="00AE31A4" w:rsidP="00AE31A4">
      <w:pPr>
        <w:tabs>
          <w:tab w:val="left" w:pos="5264"/>
        </w:tabs>
        <w:ind w:firstLine="0"/>
        <w:rPr>
          <w:spacing w:val="-2"/>
          <w:sz w:val="28"/>
          <w:szCs w:val="28"/>
        </w:rPr>
      </w:pPr>
    </w:p>
    <w:p w:rsidR="00AE31A4" w:rsidRPr="00AE31A4" w:rsidRDefault="00AE31A4" w:rsidP="00AE31A4">
      <w:pPr>
        <w:tabs>
          <w:tab w:val="left" w:pos="5264"/>
        </w:tabs>
        <w:ind w:firstLine="0"/>
        <w:rPr>
          <w:spacing w:val="-2"/>
          <w:sz w:val="28"/>
          <w:szCs w:val="28"/>
        </w:rPr>
      </w:pPr>
      <w:r w:rsidRPr="00AE31A4">
        <w:rPr>
          <w:spacing w:val="-2"/>
          <w:sz w:val="28"/>
          <w:szCs w:val="28"/>
        </w:rPr>
        <w:t>Глава Афанасьевского</w:t>
      </w:r>
    </w:p>
    <w:p w:rsidR="00FD71CA" w:rsidRPr="00AE31A4" w:rsidRDefault="00AE31A4" w:rsidP="00AE31A4">
      <w:pPr>
        <w:tabs>
          <w:tab w:val="left" w:pos="5264"/>
        </w:tabs>
        <w:ind w:firstLine="0"/>
        <w:rPr>
          <w:sz w:val="28"/>
          <w:szCs w:val="28"/>
        </w:rPr>
      </w:pPr>
      <w:r w:rsidRPr="00AE31A4">
        <w:rPr>
          <w:spacing w:val="-2"/>
          <w:sz w:val="28"/>
          <w:szCs w:val="28"/>
        </w:rPr>
        <w:t>сельского поселения                                                       В.Ю. Лобанов</w:t>
      </w:r>
    </w:p>
    <w:p w:rsidR="00FD71CA" w:rsidRPr="00FD71CA" w:rsidRDefault="00FD71CA" w:rsidP="00FD71CA">
      <w:pPr>
        <w:spacing w:after="200" w:line="276" w:lineRule="auto"/>
        <w:ind w:left="284" w:right="424" w:firstLine="0"/>
        <w:jc w:val="left"/>
        <w:rPr>
          <w:rFonts w:ascii="Arial" w:eastAsiaTheme="minorHAnsi" w:hAnsi="Arial" w:cs="Arial"/>
          <w:lang w:eastAsia="en-US"/>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FD71CA" w:rsidRPr="00D77691" w:rsidRDefault="00FD71CA"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FD71CA" w:rsidRPr="00AC63DD" w:rsidRDefault="00FD71CA"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FD71CA" w:rsidRPr="00D77691" w:rsidRDefault="00FD71CA"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B7C63" w:rsidRDefault="008B7C63" w:rsidP="00FD71CA">
      <w:pPr>
        <w:ind w:firstLine="0"/>
        <w:rPr>
          <w:rFonts w:ascii="Arial" w:hAnsi="Arial" w:cs="Arial"/>
        </w:rPr>
      </w:pPr>
    </w:p>
    <w:sectPr w:rsidR="008B7C63" w:rsidSect="00B333B7">
      <w:headerReference w:type="even" r:id="rId12"/>
      <w:headerReference w:type="default" r:id="rId13"/>
      <w:footerReference w:type="even" r:id="rId14"/>
      <w:footerReference w:type="default" r:id="rId15"/>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EA" w:rsidRDefault="006421EA" w:rsidP="00CE57D8">
      <w:r>
        <w:separator/>
      </w:r>
    </w:p>
  </w:endnote>
  <w:endnote w:type="continuationSeparator" w:id="0">
    <w:p w:rsidR="006421EA" w:rsidRDefault="006421EA"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82290"/>
      <w:docPartObj>
        <w:docPartGallery w:val="Page Numbers (Bottom of Page)"/>
        <w:docPartUnique/>
      </w:docPartObj>
    </w:sdtPr>
    <w:sdtEndPr/>
    <w:sdtContent>
      <w:p w:rsidR="00FD71CA" w:rsidRDefault="00FD71CA">
        <w:pPr>
          <w:pStyle w:val="ab"/>
          <w:jc w:val="center"/>
        </w:pPr>
        <w:r>
          <w:fldChar w:fldCharType="begin"/>
        </w:r>
        <w:r>
          <w:instrText>PAGE   \* MERGEFORMAT</w:instrText>
        </w:r>
        <w:r>
          <w:fldChar w:fldCharType="separate"/>
        </w:r>
        <w:r w:rsidR="00AE31A4">
          <w:rPr>
            <w:noProof/>
          </w:rPr>
          <w:t>1</w:t>
        </w:r>
        <w:r>
          <w:fldChar w:fldCharType="end"/>
        </w:r>
      </w:p>
    </w:sdtContent>
  </w:sdt>
  <w:p w:rsidR="00FD71CA" w:rsidRDefault="00FD71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rsidP="00D94D59">
    <w:pPr>
      <w:pStyle w:val="ab"/>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D71CA" w:rsidRDefault="00FD71CA" w:rsidP="00B333B7">
    <w:pPr>
      <w:pStyle w:val="ab"/>
      <w:ind w:right="360"/>
    </w:pPr>
  </w:p>
  <w:p w:rsidR="00FD71CA" w:rsidRDefault="00FD71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3260"/>
      <w:docPartObj>
        <w:docPartGallery w:val="Page Numbers (Bottom of Page)"/>
        <w:docPartUnique/>
      </w:docPartObj>
    </w:sdtPr>
    <w:sdtEndPr/>
    <w:sdtContent>
      <w:p w:rsidR="00FD71CA" w:rsidRDefault="00FD71CA">
        <w:pPr>
          <w:pStyle w:val="ab"/>
          <w:jc w:val="center"/>
        </w:pPr>
        <w:r>
          <w:fldChar w:fldCharType="begin"/>
        </w:r>
        <w:r>
          <w:instrText>PAGE   \* MERGEFORMAT</w:instrText>
        </w:r>
        <w:r>
          <w:fldChar w:fldCharType="separate"/>
        </w:r>
        <w:r w:rsidR="00AE31A4">
          <w:rPr>
            <w:noProof/>
          </w:rPr>
          <w:t>9</w:t>
        </w:r>
        <w:r>
          <w:fldChar w:fldCharType="end"/>
        </w:r>
      </w:p>
    </w:sdtContent>
  </w:sdt>
  <w:p w:rsidR="00FD71CA" w:rsidRPr="00D94D59" w:rsidRDefault="00FD71CA" w:rsidP="00D94D59">
    <w:pPr>
      <w:pStyle w:val="ab"/>
      <w:ind w:right="360"/>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EA" w:rsidRDefault="006421EA" w:rsidP="00CE57D8">
      <w:r>
        <w:separator/>
      </w:r>
    </w:p>
  </w:footnote>
  <w:footnote w:type="continuationSeparator" w:id="0">
    <w:p w:rsidR="006421EA" w:rsidRDefault="006421EA"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D71CA" w:rsidRDefault="00FD71CA">
    <w:pPr>
      <w:pStyle w:val="af6"/>
    </w:pPr>
  </w:p>
  <w:p w:rsidR="00FD71CA" w:rsidRDefault="00FD7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A" w:rsidRDefault="00FD71CA">
    <w:pPr>
      <w:pStyle w:val="af6"/>
    </w:pPr>
  </w:p>
  <w:p w:rsidR="00FD71CA" w:rsidRDefault="00FD71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4">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8">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CB7562"/>
    <w:multiLevelType w:val="singleLevel"/>
    <w:tmpl w:val="21AC03B0"/>
    <w:lvl w:ilvl="0">
      <w:start w:val="8"/>
      <w:numFmt w:val="bullet"/>
      <w:lvlText w:val="-"/>
      <w:lvlJc w:val="left"/>
      <w:pPr>
        <w:tabs>
          <w:tab w:val="num" w:pos="360"/>
        </w:tabs>
        <w:ind w:left="360" w:hanging="360"/>
      </w:pPr>
    </w:lvl>
  </w:abstractNum>
  <w:abstractNum w:abstractNumId="35">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36">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21"/>
  </w:num>
  <w:num w:numId="3">
    <w:abstractNumId w:val="17"/>
  </w:num>
  <w:num w:numId="4">
    <w:abstractNumId w:val="36"/>
  </w:num>
  <w:num w:numId="5">
    <w:abstractNumId w:val="1"/>
  </w:num>
  <w:num w:numId="6">
    <w:abstractNumId w:val="13"/>
  </w:num>
  <w:num w:numId="7">
    <w:abstractNumId w:val="33"/>
  </w:num>
  <w:num w:numId="8">
    <w:abstractNumId w:val="32"/>
  </w:num>
  <w:num w:numId="9">
    <w:abstractNumId w:val="19"/>
  </w:num>
  <w:num w:numId="10">
    <w:abstractNumId w:val="34"/>
  </w:num>
  <w:num w:numId="11">
    <w:abstractNumId w:val="16"/>
  </w:num>
  <w:num w:numId="12">
    <w:abstractNumId w:val="15"/>
  </w:num>
  <w:num w:numId="13">
    <w:abstractNumId w:val="27"/>
  </w:num>
  <w:num w:numId="14">
    <w:abstractNumId w:val="26"/>
  </w:num>
  <w:num w:numId="15">
    <w:abstractNumId w:val="14"/>
  </w:num>
  <w:num w:numId="16">
    <w:abstractNumId w:val="31"/>
  </w:num>
  <w:num w:numId="17">
    <w:abstractNumId w:val="23"/>
  </w:num>
  <w:num w:numId="18">
    <w:abstractNumId w:val="25"/>
  </w:num>
  <w:num w:numId="19">
    <w:abstractNumId w:val="24"/>
  </w:num>
  <w:num w:numId="20">
    <w:abstractNumId w:val="18"/>
  </w:num>
  <w:num w:numId="21">
    <w:abstractNumId w:val="20"/>
  </w:num>
  <w:num w:numId="22">
    <w:abstractNumId w:val="28"/>
  </w:num>
  <w:num w:numId="23">
    <w:abstractNumId w:val="22"/>
  </w:num>
  <w:num w:numId="24">
    <w:abstractNumId w:val="11"/>
  </w:num>
  <w:num w:numId="25">
    <w:abstractNumId w:val="12"/>
  </w:num>
  <w:num w:numId="26">
    <w:abstractNumId w:val="30"/>
  </w:num>
  <w:num w:numId="2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124992"/>
    <w:rsid w:val="00133BD5"/>
    <w:rsid w:val="00134BF9"/>
    <w:rsid w:val="001473B4"/>
    <w:rsid w:val="001E2FC6"/>
    <w:rsid w:val="0020269C"/>
    <w:rsid w:val="00206EF4"/>
    <w:rsid w:val="002166B0"/>
    <w:rsid w:val="00261A2B"/>
    <w:rsid w:val="00263E43"/>
    <w:rsid w:val="0027418E"/>
    <w:rsid w:val="002D78F9"/>
    <w:rsid w:val="002E7F90"/>
    <w:rsid w:val="003A2C26"/>
    <w:rsid w:val="003D7A16"/>
    <w:rsid w:val="00430FD0"/>
    <w:rsid w:val="00436A29"/>
    <w:rsid w:val="00477A6B"/>
    <w:rsid w:val="00497C7E"/>
    <w:rsid w:val="004A1F2C"/>
    <w:rsid w:val="004C63E3"/>
    <w:rsid w:val="00514BC3"/>
    <w:rsid w:val="005C263C"/>
    <w:rsid w:val="005D7A0C"/>
    <w:rsid w:val="005F3B26"/>
    <w:rsid w:val="005F6469"/>
    <w:rsid w:val="00624209"/>
    <w:rsid w:val="006421EA"/>
    <w:rsid w:val="00662F5B"/>
    <w:rsid w:val="006B0EAD"/>
    <w:rsid w:val="006B4A71"/>
    <w:rsid w:val="006B6F5C"/>
    <w:rsid w:val="006D6AA7"/>
    <w:rsid w:val="00703847"/>
    <w:rsid w:val="00751018"/>
    <w:rsid w:val="00751A87"/>
    <w:rsid w:val="00780070"/>
    <w:rsid w:val="00783234"/>
    <w:rsid w:val="00803532"/>
    <w:rsid w:val="00817A30"/>
    <w:rsid w:val="008430F4"/>
    <w:rsid w:val="00857183"/>
    <w:rsid w:val="00863EB0"/>
    <w:rsid w:val="00864127"/>
    <w:rsid w:val="0088258F"/>
    <w:rsid w:val="008839E1"/>
    <w:rsid w:val="008B7C63"/>
    <w:rsid w:val="008D7E10"/>
    <w:rsid w:val="008E094B"/>
    <w:rsid w:val="00931554"/>
    <w:rsid w:val="00941A02"/>
    <w:rsid w:val="00971BA7"/>
    <w:rsid w:val="009B0902"/>
    <w:rsid w:val="009B56C4"/>
    <w:rsid w:val="009D2BB7"/>
    <w:rsid w:val="00A05C6C"/>
    <w:rsid w:val="00A16A36"/>
    <w:rsid w:val="00A46358"/>
    <w:rsid w:val="00A6141A"/>
    <w:rsid w:val="00A673E8"/>
    <w:rsid w:val="00AE31A4"/>
    <w:rsid w:val="00B04EDF"/>
    <w:rsid w:val="00B333B7"/>
    <w:rsid w:val="00B77775"/>
    <w:rsid w:val="00B9367D"/>
    <w:rsid w:val="00BB1577"/>
    <w:rsid w:val="00BB5CF2"/>
    <w:rsid w:val="00C005DF"/>
    <w:rsid w:val="00C73268"/>
    <w:rsid w:val="00CA127F"/>
    <w:rsid w:val="00CB5BFE"/>
    <w:rsid w:val="00CE57D8"/>
    <w:rsid w:val="00CF5669"/>
    <w:rsid w:val="00D103C9"/>
    <w:rsid w:val="00D235F4"/>
    <w:rsid w:val="00D404E5"/>
    <w:rsid w:val="00D471AD"/>
    <w:rsid w:val="00D53134"/>
    <w:rsid w:val="00D8756C"/>
    <w:rsid w:val="00D94D59"/>
    <w:rsid w:val="00DC53DB"/>
    <w:rsid w:val="00DD1F5E"/>
    <w:rsid w:val="00E05BAA"/>
    <w:rsid w:val="00E75E90"/>
    <w:rsid w:val="00F31C52"/>
    <w:rsid w:val="00F65006"/>
    <w:rsid w:val="00FB31BC"/>
    <w:rsid w:val="00FD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DB79-F3D1-4819-B363-DB7FD931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2018-07-19T06:21:00Z</dcterms:created>
  <dcterms:modified xsi:type="dcterms:W3CDTF">2019-10-22T01:12:00Z</dcterms:modified>
</cp:coreProperties>
</file>